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E6" w:rsidRDefault="00207DE6" w:rsidP="00207D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Шемякин Евгений Юрьевич, город Санкт-Петербург</w:t>
      </w:r>
    </w:p>
    <w:p w:rsidR="00207DE6" w:rsidRDefault="00207DE6" w:rsidP="00207D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заведение - </w:t>
      </w:r>
      <w:r w:rsidRPr="00207DE6">
        <w:rPr>
          <w:rFonts w:ascii="Times New Roman" w:hAnsi="Times New Roman" w:cs="Times New Roman"/>
          <w:sz w:val="28"/>
          <w:szCs w:val="28"/>
        </w:rPr>
        <w:t>Санкт-Петербургский государственный экономический университет</w:t>
      </w:r>
    </w:p>
    <w:p w:rsidR="00207DE6" w:rsidRDefault="00207DE6" w:rsidP="00207D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- студент</w:t>
      </w:r>
      <w:bookmarkStart w:id="0" w:name="_GoBack"/>
      <w:bookmarkEnd w:id="0"/>
    </w:p>
    <w:p w:rsidR="00D45486" w:rsidRPr="00672D60" w:rsidRDefault="00D45486" w:rsidP="00685B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“Особенности оценки процент</w:t>
      </w:r>
      <w:r w:rsidR="00994D94">
        <w:rPr>
          <w:rFonts w:ascii="Times New Roman" w:hAnsi="Times New Roman" w:cs="Times New Roman"/>
          <w:sz w:val="28"/>
          <w:szCs w:val="28"/>
        </w:rPr>
        <w:t>ных рисков коммерческих банков”</w:t>
      </w:r>
    </w:p>
    <w:p w:rsidR="009F206F" w:rsidRPr="00672D60" w:rsidRDefault="00E04BB4" w:rsidP="00685B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 xml:space="preserve">   Осуществляя свою деятельность, </w:t>
      </w:r>
      <w:r w:rsidR="00D45486" w:rsidRPr="00672D60">
        <w:rPr>
          <w:rFonts w:ascii="Times New Roman" w:hAnsi="Times New Roman" w:cs="Times New Roman"/>
          <w:sz w:val="28"/>
          <w:szCs w:val="28"/>
        </w:rPr>
        <w:t xml:space="preserve">коммерческие банки </w:t>
      </w:r>
      <w:r w:rsidR="00353242" w:rsidRPr="00672D60">
        <w:rPr>
          <w:rFonts w:ascii="Times New Roman" w:hAnsi="Times New Roman" w:cs="Times New Roman"/>
          <w:sz w:val="28"/>
          <w:szCs w:val="28"/>
        </w:rPr>
        <w:t xml:space="preserve">оперируют какими-либо активами, обязательствами или финансовыми инструментами, вследствие чего </w:t>
      </w:r>
      <w:r w:rsidRPr="00672D60">
        <w:rPr>
          <w:rFonts w:ascii="Times New Roman" w:hAnsi="Times New Roman" w:cs="Times New Roman"/>
          <w:sz w:val="28"/>
          <w:szCs w:val="28"/>
        </w:rPr>
        <w:t xml:space="preserve">сталкиваются с </w:t>
      </w:r>
      <w:r w:rsidR="00353242" w:rsidRPr="00672D60">
        <w:rPr>
          <w:rFonts w:ascii="Times New Roman" w:hAnsi="Times New Roman" w:cs="Times New Roman"/>
          <w:sz w:val="28"/>
          <w:szCs w:val="28"/>
        </w:rPr>
        <w:t>определенными финансовыми рисками</w:t>
      </w:r>
      <w:r w:rsidR="007F56AE" w:rsidRPr="00672D60">
        <w:rPr>
          <w:rFonts w:ascii="Times New Roman" w:hAnsi="Times New Roman" w:cs="Times New Roman"/>
          <w:sz w:val="28"/>
          <w:szCs w:val="28"/>
        </w:rPr>
        <w:t xml:space="preserve">. </w:t>
      </w:r>
      <w:r w:rsidR="00BD614F" w:rsidRPr="00672D60">
        <w:rPr>
          <w:rFonts w:ascii="Times New Roman" w:hAnsi="Times New Roman" w:cs="Times New Roman"/>
          <w:sz w:val="28"/>
          <w:szCs w:val="28"/>
        </w:rPr>
        <w:t>Они</w:t>
      </w:r>
      <w:r w:rsidR="00353242" w:rsidRPr="00672D60">
        <w:rPr>
          <w:rFonts w:ascii="Times New Roman" w:hAnsi="Times New Roman" w:cs="Times New Roman"/>
          <w:sz w:val="28"/>
          <w:szCs w:val="28"/>
        </w:rPr>
        <w:t xml:space="preserve"> связаны </w:t>
      </w:r>
      <w:r w:rsidR="00935110" w:rsidRPr="00672D60">
        <w:rPr>
          <w:rFonts w:ascii="Times New Roman" w:hAnsi="Times New Roman" w:cs="Times New Roman"/>
          <w:sz w:val="28"/>
          <w:szCs w:val="28"/>
        </w:rPr>
        <w:t>с возможностью потери части или всей стоимости</w:t>
      </w:r>
      <w:r w:rsidR="00353242" w:rsidRPr="00672D60">
        <w:rPr>
          <w:rFonts w:ascii="Times New Roman" w:hAnsi="Times New Roman" w:cs="Times New Roman"/>
          <w:sz w:val="28"/>
          <w:szCs w:val="28"/>
        </w:rPr>
        <w:t xml:space="preserve"> финансового актива,</w:t>
      </w:r>
      <w:r w:rsidR="00935110" w:rsidRPr="00672D6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935110" w:rsidRPr="00672D60">
        <w:rPr>
          <w:rFonts w:ascii="Times New Roman" w:hAnsi="Times New Roman" w:cs="Times New Roman"/>
          <w:sz w:val="28"/>
          <w:szCs w:val="28"/>
        </w:rPr>
        <w:t>или</w:t>
      </w:r>
      <w:r w:rsidR="00353242" w:rsidRPr="00672D6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353242" w:rsidRPr="00672D60">
        <w:rPr>
          <w:rFonts w:ascii="Times New Roman" w:hAnsi="Times New Roman" w:cs="Times New Roman"/>
          <w:sz w:val="28"/>
          <w:szCs w:val="28"/>
        </w:rPr>
        <w:t>же</w:t>
      </w:r>
      <w:r w:rsidR="00935110" w:rsidRPr="00672D60">
        <w:rPr>
          <w:rFonts w:ascii="Times New Roman" w:hAnsi="Times New Roman" w:cs="Times New Roman"/>
          <w:sz w:val="28"/>
          <w:szCs w:val="28"/>
        </w:rPr>
        <w:t xml:space="preserve"> с получением</w:t>
      </w:r>
      <w:r w:rsidR="00353242" w:rsidRPr="00672D60">
        <w:rPr>
          <w:rFonts w:ascii="Times New Roman" w:hAnsi="Times New Roman" w:cs="Times New Roman"/>
          <w:sz w:val="28"/>
          <w:szCs w:val="28"/>
        </w:rPr>
        <w:t xml:space="preserve"> у</w:t>
      </w:r>
      <w:r w:rsidR="00B14330" w:rsidRPr="00672D60">
        <w:rPr>
          <w:rFonts w:ascii="Times New Roman" w:hAnsi="Times New Roman" w:cs="Times New Roman"/>
          <w:sz w:val="28"/>
          <w:szCs w:val="28"/>
        </w:rPr>
        <w:t>быт</w:t>
      </w:r>
      <w:r w:rsidR="00935110" w:rsidRPr="00672D60">
        <w:rPr>
          <w:rFonts w:ascii="Times New Roman" w:hAnsi="Times New Roman" w:cs="Times New Roman"/>
          <w:sz w:val="28"/>
          <w:szCs w:val="28"/>
        </w:rPr>
        <w:t>ков</w:t>
      </w:r>
      <w:r w:rsidR="00B14330" w:rsidRPr="00672D60">
        <w:rPr>
          <w:rFonts w:ascii="Times New Roman" w:hAnsi="Times New Roman" w:cs="Times New Roman"/>
          <w:sz w:val="28"/>
          <w:szCs w:val="28"/>
        </w:rPr>
        <w:t xml:space="preserve"> от управления финансовыми </w:t>
      </w:r>
      <w:r w:rsidR="00353242" w:rsidRPr="00672D60">
        <w:rPr>
          <w:rFonts w:ascii="Times New Roman" w:hAnsi="Times New Roman" w:cs="Times New Roman"/>
          <w:sz w:val="28"/>
          <w:szCs w:val="28"/>
        </w:rPr>
        <w:t>инструментами. Одним из типов финансового риска является рыночный риск</w:t>
      </w:r>
      <w:r w:rsidR="00B14330" w:rsidRPr="00672D60">
        <w:rPr>
          <w:rFonts w:ascii="Times New Roman" w:hAnsi="Times New Roman" w:cs="Times New Roman"/>
          <w:sz w:val="28"/>
          <w:szCs w:val="28"/>
        </w:rPr>
        <w:t xml:space="preserve">, </w:t>
      </w:r>
      <w:r w:rsidR="00BD614F" w:rsidRPr="00672D6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14330" w:rsidRPr="00672D60">
        <w:rPr>
          <w:rFonts w:ascii="Times New Roman" w:hAnsi="Times New Roman" w:cs="Times New Roman"/>
          <w:sz w:val="28"/>
          <w:szCs w:val="28"/>
        </w:rPr>
        <w:t xml:space="preserve">связан с неблагоприятным изменением цен на финансовые инструменты. Процентный риск – вид </w:t>
      </w:r>
      <w:r w:rsidR="00FF6EAF" w:rsidRPr="00672D60">
        <w:rPr>
          <w:rFonts w:ascii="Times New Roman" w:hAnsi="Times New Roman" w:cs="Times New Roman"/>
          <w:sz w:val="28"/>
          <w:szCs w:val="28"/>
        </w:rPr>
        <w:t>рыночного риска, заключающийся в том</w:t>
      </w:r>
      <w:r w:rsidR="00B14330" w:rsidRPr="00672D60">
        <w:rPr>
          <w:rFonts w:ascii="Times New Roman" w:hAnsi="Times New Roman" w:cs="Times New Roman"/>
          <w:sz w:val="28"/>
          <w:szCs w:val="28"/>
        </w:rPr>
        <w:t>, что стоимость финансового инструмента может быть подвержена колебаниям вследствие изменений рыночных процентных ставок</w:t>
      </w:r>
      <w:r w:rsidR="009F206F" w:rsidRPr="00672D60">
        <w:rPr>
          <w:rFonts w:ascii="Times New Roman" w:hAnsi="Times New Roman" w:cs="Times New Roman"/>
          <w:sz w:val="28"/>
          <w:szCs w:val="28"/>
        </w:rPr>
        <w:t xml:space="preserve">. </w:t>
      </w:r>
      <w:r w:rsidR="00D11C17" w:rsidRPr="00672D60">
        <w:rPr>
          <w:rFonts w:ascii="Times New Roman" w:hAnsi="Times New Roman" w:cs="Times New Roman"/>
          <w:sz w:val="28"/>
          <w:szCs w:val="28"/>
        </w:rPr>
        <w:t xml:space="preserve">Причин изменения процентной ставки может быть множество. Их обычно делят </w:t>
      </w:r>
      <w:proofErr w:type="gramStart"/>
      <w:r w:rsidR="00D11C17" w:rsidRPr="00672D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1C17" w:rsidRPr="00672D60">
        <w:rPr>
          <w:rFonts w:ascii="Times New Roman" w:hAnsi="Times New Roman" w:cs="Times New Roman"/>
          <w:sz w:val="28"/>
          <w:szCs w:val="28"/>
        </w:rPr>
        <w:t xml:space="preserve"> внешние и внутренние. К первым относятся: экономическая обстановка в стране, правовое регулирование процентного риска, нестабильность рыночной конъюнктуры и прочие; а ко вторым: отсутствие программы хеджирования, отсутствие стратегии управления процентными рисками и так далее. </w:t>
      </w:r>
      <w:r w:rsidR="00235C3A" w:rsidRPr="00672D60">
        <w:rPr>
          <w:rFonts w:ascii="Times New Roman" w:hAnsi="Times New Roman" w:cs="Times New Roman"/>
          <w:sz w:val="28"/>
          <w:szCs w:val="28"/>
        </w:rPr>
        <w:t xml:space="preserve">Чтобы избежать неблагоприятных последствий </w:t>
      </w:r>
      <w:r w:rsidR="009505C1" w:rsidRPr="00672D60">
        <w:rPr>
          <w:rFonts w:ascii="Times New Roman" w:hAnsi="Times New Roman" w:cs="Times New Roman"/>
          <w:sz w:val="28"/>
          <w:szCs w:val="28"/>
        </w:rPr>
        <w:t xml:space="preserve">этих </w:t>
      </w:r>
      <w:r w:rsidR="00235C3A" w:rsidRPr="00672D60">
        <w:rPr>
          <w:rFonts w:ascii="Times New Roman" w:hAnsi="Times New Roman" w:cs="Times New Roman"/>
          <w:sz w:val="28"/>
          <w:szCs w:val="28"/>
        </w:rPr>
        <w:t>изменений с</w:t>
      </w:r>
      <w:r w:rsidR="00D45486" w:rsidRPr="00672D60">
        <w:rPr>
          <w:rFonts w:ascii="Times New Roman" w:hAnsi="Times New Roman" w:cs="Times New Roman"/>
          <w:sz w:val="28"/>
          <w:szCs w:val="28"/>
        </w:rPr>
        <w:t xml:space="preserve">уществует несколько способов </w:t>
      </w:r>
      <w:r w:rsidR="00A20416" w:rsidRPr="00672D60">
        <w:rPr>
          <w:rFonts w:ascii="Times New Roman" w:hAnsi="Times New Roman" w:cs="Times New Roman"/>
          <w:sz w:val="28"/>
          <w:szCs w:val="28"/>
        </w:rPr>
        <w:t xml:space="preserve">оценки процентного риска: оценка уровня и динамики процентной маржи, оценка уровня и динамики коэффициента спреда, ГЭП-анализ и оценка риска на основе </w:t>
      </w:r>
      <w:proofErr w:type="spellStart"/>
      <w:r w:rsidR="00A20416" w:rsidRPr="00672D60">
        <w:rPr>
          <w:rFonts w:ascii="Times New Roman" w:hAnsi="Times New Roman" w:cs="Times New Roman"/>
          <w:sz w:val="28"/>
          <w:szCs w:val="28"/>
        </w:rPr>
        <w:t>дюрации</w:t>
      </w:r>
      <w:proofErr w:type="spellEnd"/>
      <w:r w:rsidR="00A20416" w:rsidRPr="00672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ED5" w:rsidRPr="00672D60" w:rsidRDefault="00A64B23" w:rsidP="00685B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 xml:space="preserve">   </w:t>
      </w:r>
      <w:r w:rsidR="00CC1881" w:rsidRPr="00672D60">
        <w:rPr>
          <w:rFonts w:ascii="Times New Roman" w:hAnsi="Times New Roman" w:cs="Times New Roman"/>
          <w:sz w:val="28"/>
          <w:szCs w:val="28"/>
        </w:rPr>
        <w:t xml:space="preserve">1) </w:t>
      </w:r>
      <w:r w:rsidR="00065396" w:rsidRPr="00672D60">
        <w:rPr>
          <w:rFonts w:ascii="Times New Roman" w:hAnsi="Times New Roman" w:cs="Times New Roman"/>
          <w:sz w:val="28"/>
          <w:szCs w:val="28"/>
        </w:rPr>
        <w:t xml:space="preserve">Сущность процентной маржи </w:t>
      </w:r>
      <w:r w:rsidR="0049483E" w:rsidRPr="00672D60">
        <w:rPr>
          <w:rFonts w:ascii="Times New Roman" w:hAnsi="Times New Roman" w:cs="Times New Roman"/>
          <w:sz w:val="28"/>
          <w:szCs w:val="28"/>
        </w:rPr>
        <w:t>заключается в разнице между процентным дохо</w:t>
      </w:r>
      <w:r w:rsidR="002F16FA" w:rsidRPr="00672D60">
        <w:rPr>
          <w:rFonts w:ascii="Times New Roman" w:hAnsi="Times New Roman" w:cs="Times New Roman"/>
          <w:sz w:val="28"/>
          <w:szCs w:val="28"/>
        </w:rPr>
        <w:t>дом от активов</w:t>
      </w:r>
      <w:r w:rsidR="0049483E" w:rsidRPr="00672D60">
        <w:rPr>
          <w:rFonts w:ascii="Times New Roman" w:hAnsi="Times New Roman" w:cs="Times New Roman"/>
          <w:sz w:val="28"/>
          <w:szCs w:val="28"/>
        </w:rPr>
        <w:t xml:space="preserve"> и процентным расходом по обязательствам банка.</w:t>
      </w:r>
      <w:r w:rsidR="002F16FA" w:rsidRPr="00672D60">
        <w:rPr>
          <w:rFonts w:ascii="Times New Roman" w:hAnsi="Times New Roman" w:cs="Times New Roman"/>
          <w:sz w:val="28"/>
          <w:szCs w:val="28"/>
        </w:rPr>
        <w:t xml:space="preserve"> Она является основным из показателей </w:t>
      </w:r>
      <w:r w:rsidR="002F16FA" w:rsidRPr="00672D60">
        <w:rPr>
          <w:rFonts w:ascii="Times New Roman" w:hAnsi="Times New Roman" w:cs="Times New Roman"/>
          <w:sz w:val="28"/>
          <w:szCs w:val="28"/>
        </w:rPr>
        <w:lastRenderedPageBreak/>
        <w:t>прибыльности банка. Особенностью данного показателя является то, что он не только показывает прибыль от активных операций, но также покрывает риск от возможных убытков при невыполнении заемщиком своих обязательств.</w:t>
      </w:r>
      <w:r w:rsidR="00C42ED5" w:rsidRPr="00672D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2ED5" w:rsidRPr="00672D60" w:rsidRDefault="00C42ED5" w:rsidP="00685B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 xml:space="preserve">   Основными коэффициентами процентной маржи являются:</w:t>
      </w:r>
    </w:p>
    <w:p w:rsidR="00994D94" w:rsidRDefault="00CC1881" w:rsidP="00685B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 xml:space="preserve">А </w:t>
      </w:r>
      <w:r w:rsidR="00C42ED5" w:rsidRPr="00672D60">
        <w:rPr>
          <w:rFonts w:ascii="Times New Roman" w:hAnsi="Times New Roman" w:cs="Times New Roman"/>
          <w:sz w:val="28"/>
          <w:szCs w:val="28"/>
        </w:rPr>
        <w:t>- коэффициент фактической маржи</w:t>
      </w:r>
    </w:p>
    <w:p w:rsidR="00E04BB4" w:rsidRPr="00994D94" w:rsidRDefault="00CE01EA" w:rsidP="00685B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Кф=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Проценты, полученные за период-Проценты уплаченные за период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Средний остаток активов, приносящих доход в периоде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</m:t>
          </m:r>
        </m:oMath>
      </m:oMathPara>
    </w:p>
    <w:p w:rsidR="00D010E1" w:rsidRPr="00672D60" w:rsidRDefault="00CC1881" w:rsidP="00685B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D60"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010E1" w:rsidRPr="00672D60">
        <w:rPr>
          <w:rFonts w:ascii="Times New Roman" w:eastAsiaTheme="minorEastAsia" w:hAnsi="Times New Roman" w:cs="Times New Roman"/>
          <w:sz w:val="28"/>
          <w:szCs w:val="28"/>
        </w:rPr>
        <w:t>- коэффициент достаточной маржи</w:t>
      </w:r>
    </w:p>
    <w:p w:rsidR="00075B95" w:rsidRPr="00672D60" w:rsidRDefault="005D45DA" w:rsidP="00685BDC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Кд=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ОР-ПД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Ад</m:t>
              </m:r>
            </m:den>
          </m:f>
        </m:oMath>
      </m:oMathPara>
    </w:p>
    <w:p w:rsidR="00D010E1" w:rsidRPr="00672D60" w:rsidRDefault="00D010E1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где OP - </w:t>
      </w:r>
      <w:proofErr w:type="spellStart"/>
      <w:r w:rsidRPr="00672D60">
        <w:rPr>
          <w:rFonts w:ascii="Times New Roman" w:eastAsiaTheme="minorEastAsia" w:hAnsi="Times New Roman" w:cs="Times New Roman"/>
          <w:sz w:val="28"/>
          <w:szCs w:val="28"/>
        </w:rPr>
        <w:t>общебанковские</w:t>
      </w:r>
      <w:proofErr w:type="spell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расходы непроцентного и относительно стабильного характера за период;</w:t>
      </w:r>
    </w:p>
    <w:p w:rsidR="00D010E1" w:rsidRPr="00672D60" w:rsidRDefault="00D010E1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     ПД - прочие доходы непроце</w:t>
      </w:r>
      <w:r w:rsidR="00075B95" w:rsidRPr="00672D60">
        <w:rPr>
          <w:rFonts w:ascii="Times New Roman" w:eastAsiaTheme="minorEastAsia" w:hAnsi="Times New Roman" w:cs="Times New Roman"/>
          <w:sz w:val="28"/>
          <w:szCs w:val="28"/>
        </w:rPr>
        <w:t>нтного и относительно стабильно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>го характера за период;</w:t>
      </w:r>
    </w:p>
    <w:p w:rsidR="005D45DA" w:rsidRPr="00672D60" w:rsidRDefault="00D010E1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     Ад - средний в течение определенного периода остаток ак</w:t>
      </w:r>
      <w:r w:rsidR="00075B95" w:rsidRPr="00672D60">
        <w:rPr>
          <w:rFonts w:ascii="Times New Roman" w:eastAsiaTheme="minorEastAsia" w:hAnsi="Times New Roman" w:cs="Times New Roman"/>
          <w:sz w:val="28"/>
          <w:szCs w:val="28"/>
        </w:rPr>
        <w:t>ти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>вов, приносящих доход.</w:t>
      </w:r>
    </w:p>
    <w:p w:rsidR="002513DC" w:rsidRPr="00672D60" w:rsidRDefault="00261593" w:rsidP="00685B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 xml:space="preserve">   Таким образом</w:t>
      </w:r>
      <w:r w:rsidR="002513DC" w:rsidRPr="00672D60">
        <w:rPr>
          <w:rFonts w:ascii="Times New Roman" w:hAnsi="Times New Roman" w:cs="Times New Roman"/>
          <w:sz w:val="28"/>
          <w:szCs w:val="28"/>
        </w:rPr>
        <w:t>, уровень</w:t>
      </w:r>
      <w:r w:rsidR="00AF0A3D" w:rsidRPr="00672D60">
        <w:rPr>
          <w:rFonts w:ascii="Times New Roman" w:hAnsi="Times New Roman" w:cs="Times New Roman"/>
          <w:sz w:val="28"/>
          <w:szCs w:val="28"/>
        </w:rPr>
        <w:t xml:space="preserve"> фактической</w:t>
      </w:r>
      <w:r w:rsidR="002513DC" w:rsidRPr="00672D60">
        <w:rPr>
          <w:rFonts w:ascii="Times New Roman" w:hAnsi="Times New Roman" w:cs="Times New Roman"/>
          <w:sz w:val="28"/>
          <w:szCs w:val="28"/>
        </w:rPr>
        <w:t xml:space="preserve"> процентной маржи позволяет оценить степень процентного риска: чем больше падает</w:t>
      </w:r>
      <w:r w:rsidR="00AF0A3D" w:rsidRPr="00672D60">
        <w:rPr>
          <w:rFonts w:ascii="Times New Roman" w:hAnsi="Times New Roman" w:cs="Times New Roman"/>
          <w:sz w:val="28"/>
          <w:szCs w:val="28"/>
        </w:rPr>
        <w:t xml:space="preserve"> фактическая</w:t>
      </w:r>
      <w:r w:rsidR="002513DC" w:rsidRPr="00672D60">
        <w:rPr>
          <w:rFonts w:ascii="Times New Roman" w:hAnsi="Times New Roman" w:cs="Times New Roman"/>
          <w:sz w:val="28"/>
          <w:szCs w:val="28"/>
        </w:rPr>
        <w:t xml:space="preserve"> маржа, тем больше риск.</w:t>
      </w:r>
      <w:r w:rsidR="00753FF1" w:rsidRPr="00672D60">
        <w:rPr>
          <w:rFonts w:ascii="Times New Roman" w:hAnsi="Times New Roman" w:cs="Times New Roman"/>
          <w:sz w:val="28"/>
          <w:szCs w:val="28"/>
        </w:rPr>
        <w:t xml:space="preserve"> Признаками ее падения могут являться:</w:t>
      </w:r>
      <w:r w:rsidR="00DB2517" w:rsidRPr="00672D60">
        <w:rPr>
          <w:rFonts w:ascii="Times New Roman" w:hAnsi="Times New Roman" w:cs="Times New Roman"/>
          <w:sz w:val="28"/>
          <w:szCs w:val="28"/>
        </w:rPr>
        <w:t xml:space="preserve"> нулевая или отрицательная процентная маржа по отдельным активным операциям,</w:t>
      </w:r>
      <w:r w:rsidR="00753FF1" w:rsidRPr="00672D60">
        <w:rPr>
          <w:rFonts w:ascii="Times New Roman" w:hAnsi="Times New Roman" w:cs="Times New Roman"/>
          <w:sz w:val="28"/>
          <w:szCs w:val="28"/>
        </w:rPr>
        <w:t xml:space="preserve"> </w:t>
      </w:r>
      <w:r w:rsidR="00DB2517" w:rsidRPr="00672D60">
        <w:rPr>
          <w:rFonts w:ascii="Times New Roman" w:hAnsi="Times New Roman" w:cs="Times New Roman"/>
          <w:sz w:val="28"/>
          <w:szCs w:val="28"/>
        </w:rPr>
        <w:t xml:space="preserve">уровень процентной маржи по отдельным активным операциям ниже среднего для банка коэффициента достаточной маржи, коэффициент фактической процентной маржи в целом по банку ниже уровня коэффициента достаточной процентной маржи и так далее. </w:t>
      </w:r>
      <w:r w:rsidR="002513DC" w:rsidRPr="00672D60">
        <w:rPr>
          <w:rFonts w:ascii="Times New Roman" w:hAnsi="Times New Roman" w:cs="Times New Roman"/>
          <w:sz w:val="28"/>
          <w:szCs w:val="28"/>
        </w:rPr>
        <w:t xml:space="preserve">Обычно банки стараются предугадать возможность возникновения рисков и поэтому </w:t>
      </w:r>
      <w:r w:rsidR="002513DC" w:rsidRPr="00672D60">
        <w:rPr>
          <w:rFonts w:ascii="Times New Roman" w:hAnsi="Times New Roman" w:cs="Times New Roman"/>
          <w:sz w:val="28"/>
          <w:szCs w:val="28"/>
        </w:rPr>
        <w:lastRenderedPageBreak/>
        <w:t>высчитывают стандартный уровень коэффициента процентной маржи, который бы смог покрыть издержки и сформировать прибыль.</w:t>
      </w:r>
    </w:p>
    <w:p w:rsidR="007028AF" w:rsidRPr="00672D60" w:rsidRDefault="007028AF" w:rsidP="00685B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 xml:space="preserve">   Существует множество факторов, влияющих на абсолютную величину процентной маржи</w:t>
      </w:r>
      <w:r w:rsidR="006413F4" w:rsidRPr="00672D60">
        <w:rPr>
          <w:rFonts w:ascii="Times New Roman" w:hAnsi="Times New Roman" w:cs="Times New Roman"/>
          <w:sz w:val="28"/>
          <w:szCs w:val="28"/>
        </w:rPr>
        <w:t>. К ним относятся: темп инфляции, соотношение между собственным капиталом и привлеченными ресурсами</w:t>
      </w:r>
      <w:r w:rsidR="00CF6B14" w:rsidRPr="00672D60">
        <w:rPr>
          <w:rFonts w:ascii="Times New Roman" w:hAnsi="Times New Roman" w:cs="Times New Roman"/>
          <w:sz w:val="28"/>
          <w:szCs w:val="28"/>
        </w:rPr>
        <w:t>,  процентной ставкой по пассивным операциям банка, разницей между процентными ставками по активным и пассивным операциям (спрэд), долей беспроцентных ссуд в кредитном портфеле банка и прочие.</w:t>
      </w:r>
    </w:p>
    <w:p w:rsidR="00AD7648" w:rsidRPr="00672D60" w:rsidRDefault="00AD7648" w:rsidP="00685B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 xml:space="preserve">   Таким образом, </w:t>
      </w:r>
      <w:r w:rsidR="00FA32A7" w:rsidRPr="00672D60">
        <w:rPr>
          <w:rFonts w:ascii="Times New Roman" w:hAnsi="Times New Roman" w:cs="Times New Roman"/>
          <w:sz w:val="28"/>
          <w:szCs w:val="28"/>
        </w:rPr>
        <w:t xml:space="preserve">при сопоставлении достаточной маржи, высчитанной из отчетных данных, и фактической маржи за период в целом по банковским операциям или по отдельным видам банковских операций </w:t>
      </w:r>
      <w:proofErr w:type="gramStart"/>
      <w:r w:rsidR="00FA32A7" w:rsidRPr="00672D60">
        <w:rPr>
          <w:rFonts w:ascii="Times New Roman" w:hAnsi="Times New Roman" w:cs="Times New Roman"/>
          <w:sz w:val="28"/>
          <w:szCs w:val="28"/>
        </w:rPr>
        <w:t>представляет возможность</w:t>
      </w:r>
      <w:proofErr w:type="gramEnd"/>
      <w:r w:rsidR="00FA32A7" w:rsidRPr="00672D60">
        <w:rPr>
          <w:rFonts w:ascii="Times New Roman" w:hAnsi="Times New Roman" w:cs="Times New Roman"/>
          <w:sz w:val="28"/>
          <w:szCs w:val="28"/>
        </w:rPr>
        <w:t xml:space="preserve"> объективно оценить систему управления доходом и определить тенденции, которые характеризуют финансовую устойчивость банка. Если наблюдается тенденция увеличения фактической маржи и увеличение разницы между ней и достаточной маржей, то это является хорошим знаком, и наоборот. </w:t>
      </w:r>
    </w:p>
    <w:p w:rsidR="00CC1881" w:rsidRPr="00672D60" w:rsidRDefault="00CC1881" w:rsidP="00685B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 xml:space="preserve">   </w:t>
      </w:r>
      <w:r w:rsidR="0013020C" w:rsidRPr="00672D60">
        <w:rPr>
          <w:rFonts w:ascii="Times New Roman" w:hAnsi="Times New Roman" w:cs="Times New Roman"/>
          <w:sz w:val="28"/>
          <w:szCs w:val="28"/>
        </w:rPr>
        <w:t xml:space="preserve">2) </w:t>
      </w:r>
      <w:r w:rsidR="007C6C3A" w:rsidRPr="00672D60">
        <w:rPr>
          <w:rFonts w:ascii="Times New Roman" w:hAnsi="Times New Roman" w:cs="Times New Roman"/>
          <w:sz w:val="28"/>
          <w:szCs w:val="28"/>
        </w:rPr>
        <w:t xml:space="preserve">Одним из стандартных показателей прибыльности коммерческих банков является спред. Он представляет собой разницу между взвешенной средней ставкой, полученной по активам, и взвешенной средней ставкой, выплаченной по обязательствам. Иными словами, спред </w:t>
      </w:r>
      <w:proofErr w:type="gramStart"/>
      <w:r w:rsidR="007C6C3A" w:rsidRPr="00672D60">
        <w:rPr>
          <w:rFonts w:ascii="Times New Roman" w:hAnsi="Times New Roman" w:cs="Times New Roman"/>
          <w:sz w:val="28"/>
          <w:szCs w:val="28"/>
        </w:rPr>
        <w:t>показывает насколько успешно банк исполняет</w:t>
      </w:r>
      <w:proofErr w:type="gramEnd"/>
      <w:r w:rsidR="007C6C3A" w:rsidRPr="00672D60">
        <w:rPr>
          <w:rFonts w:ascii="Times New Roman" w:hAnsi="Times New Roman" w:cs="Times New Roman"/>
          <w:sz w:val="28"/>
          <w:szCs w:val="28"/>
        </w:rPr>
        <w:t xml:space="preserve"> функцию посредника между заемщиками и вкладчиками. </w:t>
      </w:r>
      <w:r w:rsidR="00C070FF" w:rsidRPr="00672D60">
        <w:rPr>
          <w:rFonts w:ascii="Times New Roman" w:hAnsi="Times New Roman" w:cs="Times New Roman"/>
          <w:sz w:val="28"/>
          <w:szCs w:val="28"/>
        </w:rPr>
        <w:t>Степень процентного риска можно оценить с помощью коэффициента спреда – чем он ниже, тем выше риск. Он высчитывается по следующей формуле:</w:t>
      </w:r>
    </w:p>
    <w:p w:rsidR="00C070FF" w:rsidRPr="00672D60" w:rsidRDefault="00CF3422" w:rsidP="00685BDC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Кспреда=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Рс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Рд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den>
        </m:f>
      </m:oMath>
      <w:r w:rsidRPr="00672D6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85B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CF3422" w:rsidRPr="00672D60" w:rsidRDefault="00CF3422" w:rsidP="00685BDC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72D60">
        <w:rPr>
          <w:rFonts w:ascii="Times New Roman" w:eastAsiaTheme="minorEastAsia" w:hAnsi="Times New Roman" w:cs="Times New Roman"/>
          <w:sz w:val="28"/>
          <w:szCs w:val="28"/>
        </w:rPr>
        <w:t>Рс</w:t>
      </w:r>
      <w:proofErr w:type="spell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– проценты по ссудам, полученным банком в данном периоде,</w:t>
      </w:r>
    </w:p>
    <w:p w:rsidR="00CF3422" w:rsidRPr="00672D60" w:rsidRDefault="00CF3422" w:rsidP="00685BDC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72D60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672D60">
        <w:rPr>
          <w:rFonts w:ascii="Times New Roman" w:eastAsiaTheme="minorEastAsia" w:hAnsi="Times New Roman" w:cs="Times New Roman"/>
          <w:sz w:val="28"/>
          <w:szCs w:val="28"/>
        </w:rPr>
        <w:t>средний</w:t>
      </w:r>
      <w:proofErr w:type="gram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остаток задолженности по ссудам в данном периоде,</w:t>
      </w:r>
    </w:p>
    <w:p w:rsidR="00E8504B" w:rsidRPr="00672D60" w:rsidRDefault="00E8504B" w:rsidP="00685BDC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72D60">
        <w:rPr>
          <w:rFonts w:ascii="Times New Roman" w:eastAsiaTheme="minorEastAsia" w:hAnsi="Times New Roman" w:cs="Times New Roman"/>
          <w:sz w:val="28"/>
          <w:szCs w:val="28"/>
        </w:rPr>
        <w:lastRenderedPageBreak/>
        <w:t>Рд</w:t>
      </w:r>
      <w:proofErr w:type="spell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– проценты, уплаченные банком за привлечённые депозитные ресурсы, в данном периоде,</w:t>
      </w:r>
    </w:p>
    <w:p w:rsidR="00E8504B" w:rsidRPr="00672D60" w:rsidRDefault="00E8504B" w:rsidP="00685BDC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>Д – средний остаток в периоде депозитных ресурсов всех видов.</w:t>
      </w:r>
    </w:p>
    <w:p w:rsidR="00E8504B" w:rsidRPr="00672D60" w:rsidRDefault="00E8504B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E24654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Помимо этого, коэффициент спреда </w:t>
      </w:r>
      <w:r w:rsidR="00A21EB7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упрощает процедуру анализа доходности активов банка. С помощью показателя можно </w:t>
      </w:r>
      <w:r w:rsidR="00E24654" w:rsidRPr="00672D60">
        <w:rPr>
          <w:rFonts w:ascii="Times New Roman" w:eastAsiaTheme="minorEastAsia" w:hAnsi="Times New Roman" w:cs="Times New Roman"/>
          <w:sz w:val="28"/>
          <w:szCs w:val="28"/>
        </w:rPr>
        <w:t>оценить уровен</w:t>
      </w:r>
      <w:r w:rsidR="00A21EB7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ь уязвимости доходных </w:t>
      </w:r>
      <w:r w:rsidR="00E24654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операций, так как </w:t>
      </w:r>
      <w:r w:rsidR="00A21EB7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он </w:t>
      </w:r>
      <w:r w:rsidR="00E24654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показывает степень воздействия ставок по процентам на финансовый результат банка. </w:t>
      </w:r>
      <w:r w:rsidR="00A21EB7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Обычно банки формируют стандарты по уровню коэффициента спреда на планируемый период и, для более точной оценки доходности активов, сравнивают их с группой аналогичных банков. </w:t>
      </w:r>
      <w:r w:rsidR="00E24654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427E10" w:rsidRPr="00672D60" w:rsidRDefault="0013020C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  3) Для диагностики проблем коммерческого банка используется ГЭ</w:t>
      </w:r>
      <w:proofErr w:type="gramStart"/>
      <w:r w:rsidRPr="00672D60">
        <w:rPr>
          <w:rFonts w:ascii="Times New Roman" w:eastAsiaTheme="minorEastAsia" w:hAnsi="Times New Roman" w:cs="Times New Roman"/>
          <w:sz w:val="28"/>
          <w:szCs w:val="28"/>
        </w:rPr>
        <w:t>П-</w:t>
      </w:r>
      <w:proofErr w:type="gram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анализ (от англ. </w:t>
      </w:r>
      <w:r w:rsidRPr="00672D60">
        <w:rPr>
          <w:rFonts w:ascii="Times New Roman" w:eastAsiaTheme="minorEastAsia" w:hAnsi="Times New Roman" w:cs="Times New Roman"/>
          <w:sz w:val="28"/>
          <w:szCs w:val="28"/>
          <w:lang w:val="en-US"/>
        </w:rPr>
        <w:t>Gap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>- брешь). Он позвол</w:t>
      </w:r>
      <w:r w:rsidR="00C87C68" w:rsidRPr="00672D60">
        <w:rPr>
          <w:rFonts w:ascii="Times New Roman" w:eastAsiaTheme="minorEastAsia" w:hAnsi="Times New Roman" w:cs="Times New Roman"/>
          <w:sz w:val="28"/>
          <w:szCs w:val="28"/>
        </w:rPr>
        <w:t>яет понять, существует ли разница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между желаниями и возможностями коммерческого банка. </w:t>
      </w:r>
      <w:r w:rsidR="00C87C68" w:rsidRPr="00672D60">
        <w:rPr>
          <w:rFonts w:ascii="Times New Roman" w:eastAsiaTheme="minorEastAsia" w:hAnsi="Times New Roman" w:cs="Times New Roman"/>
          <w:sz w:val="28"/>
          <w:szCs w:val="28"/>
        </w:rPr>
        <w:t>Другими словами, ГЭП – это разрыв между активами и обязательствами банка, чувствительными к изменению процентных ставок в данном периоде.</w:t>
      </w:r>
      <w:r w:rsidR="00D77A97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Его можно рассчитывать в абсолютной и относительной формах. </w:t>
      </w:r>
      <w:proofErr w:type="gramStart"/>
      <w:r w:rsidR="00D77A97" w:rsidRPr="00672D60">
        <w:rPr>
          <w:rFonts w:ascii="Times New Roman" w:eastAsiaTheme="minorEastAsia" w:hAnsi="Times New Roman" w:cs="Times New Roman"/>
          <w:sz w:val="28"/>
          <w:szCs w:val="28"/>
        </w:rPr>
        <w:t>Абсолютный</w:t>
      </w:r>
      <w:proofErr w:type="gramEnd"/>
      <w:r w:rsidR="00D77A97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ГЭП – абсолютная разница между чувствительными к изменению процентными ставками в данном периоде (АЧП) и обязательствами этого же срока (ОЧП).</w:t>
      </w:r>
      <w:r w:rsidR="001D0B93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Относительный ГЭП или коэффициент </w:t>
      </w:r>
      <w:proofErr w:type="spellStart"/>
      <w:r w:rsidR="001D0B93" w:rsidRPr="00672D60">
        <w:rPr>
          <w:rFonts w:ascii="Times New Roman" w:eastAsiaTheme="minorEastAsia" w:hAnsi="Times New Roman" w:cs="Times New Roman"/>
          <w:sz w:val="28"/>
          <w:szCs w:val="28"/>
        </w:rPr>
        <w:t>ГЭПа</w:t>
      </w:r>
      <w:proofErr w:type="spellEnd"/>
      <w:r w:rsidR="001D0B93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имеет следующий вид:</w:t>
      </w:r>
    </w:p>
    <w:p w:rsidR="00D77A97" w:rsidRPr="00672D60" w:rsidRDefault="00427E10" w:rsidP="00685BDC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Коэф ГЭПа=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АЧП-ОЧП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АЧП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АЧП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ОЧП</m:t>
              </m:r>
            </m:den>
          </m:f>
        </m:oMath>
      </m:oMathPara>
    </w:p>
    <w:p w:rsidR="00427E10" w:rsidRPr="00672D60" w:rsidRDefault="0087647B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  Чтобы выявить процентный риск посредством ГЭП-анализа необходимо, в первую очередь, определить те активы и пассивы, которые подвержены влиянию процентного риска в данном сроке. Затем определяется разрыв между ними и производится его анализ: характер, величина и прочее. На основе анализа делаются </w:t>
      </w:r>
      <w:r w:rsidR="0071766B" w:rsidRPr="00672D60">
        <w:rPr>
          <w:rFonts w:ascii="Times New Roman" w:eastAsiaTheme="minorEastAsia" w:hAnsi="Times New Roman" w:cs="Times New Roman"/>
          <w:sz w:val="28"/>
          <w:szCs w:val="28"/>
        </w:rPr>
        <w:t>выводы,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5D44C7" w:rsidRPr="00672D60">
        <w:rPr>
          <w:rFonts w:ascii="Times New Roman" w:eastAsiaTheme="minorEastAsia" w:hAnsi="Times New Roman" w:cs="Times New Roman"/>
          <w:sz w:val="28"/>
          <w:szCs w:val="28"/>
        </w:rPr>
        <w:t>реализуются соответствующие меры.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77A97" w:rsidRPr="00672D60" w:rsidRDefault="00D77A97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Существует несколько приемов ГЭП-анализа:</w:t>
      </w:r>
    </w:p>
    <w:p w:rsidR="00B671DA" w:rsidRPr="00672D60" w:rsidRDefault="00D77A97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А) Оценка величины и динамики коэффициента </w:t>
      </w:r>
      <w:proofErr w:type="spellStart"/>
      <w:r w:rsidRPr="00672D60">
        <w:rPr>
          <w:rFonts w:ascii="Times New Roman" w:eastAsiaTheme="minorEastAsia" w:hAnsi="Times New Roman" w:cs="Times New Roman"/>
          <w:sz w:val="28"/>
          <w:szCs w:val="28"/>
        </w:rPr>
        <w:t>ГЭПа</w:t>
      </w:r>
      <w:proofErr w:type="spell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671DA" w:rsidRPr="00672D60">
        <w:rPr>
          <w:rFonts w:ascii="Times New Roman" w:eastAsiaTheme="minorEastAsia" w:hAnsi="Times New Roman" w:cs="Times New Roman"/>
          <w:sz w:val="28"/>
          <w:szCs w:val="28"/>
        </w:rPr>
        <w:t>Коэффициент обычно варьируется около значения 1. Чем больше отклонение от 1, тем выше процентный риск.</w:t>
      </w:r>
    </w:p>
    <w:p w:rsidR="00D77A97" w:rsidRPr="00672D60" w:rsidRDefault="00B671DA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Б)  </w:t>
      </w:r>
      <w:r w:rsidR="00D93B77" w:rsidRPr="00672D60">
        <w:rPr>
          <w:rFonts w:ascii="Times New Roman" w:eastAsiaTheme="minorEastAsia" w:hAnsi="Times New Roman" w:cs="Times New Roman"/>
          <w:sz w:val="28"/>
          <w:szCs w:val="28"/>
        </w:rPr>
        <w:t>Расче</w:t>
      </w:r>
      <w:r w:rsidR="00C540D1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т величины изменения процентной маржи на основе </w:t>
      </w:r>
      <w:proofErr w:type="spellStart"/>
      <w:r w:rsidR="00C540D1" w:rsidRPr="00672D60">
        <w:rPr>
          <w:rFonts w:ascii="Times New Roman" w:eastAsiaTheme="minorEastAsia" w:hAnsi="Times New Roman" w:cs="Times New Roman"/>
          <w:sz w:val="28"/>
          <w:szCs w:val="28"/>
        </w:rPr>
        <w:t>ГЭПа</w:t>
      </w:r>
      <w:proofErr w:type="spellEnd"/>
      <w:r w:rsidR="00C540D1" w:rsidRPr="00672D6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66325" w:rsidRPr="00672D60" w:rsidRDefault="00C2186C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 Для начала стоит отметить, что чистая процентная маржа - соотношение чистого процентного дохода банка к средней сумме его активов, приносящих проценты.</w:t>
      </w:r>
      <w:r w:rsidR="00166325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Расчет в данном приеме производится по следующей формуле: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NI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GAP</m:t>
        </m:r>
        <m:r>
          <w:rPr>
            <w:rFonts w:ascii="Cambria Math" w:eastAsiaTheme="minorEastAsia" w:hAnsi="Cambria Math" w:cs="Times New Roman"/>
            <w:sz w:val="28"/>
            <w:szCs w:val="28"/>
          </w:rPr>
          <m:t>*∆i</m:t>
        </m:r>
      </m:oMath>
      <w:proofErr w:type="gramStart"/>
      <w:r w:rsidR="00685BDC">
        <w:rPr>
          <w:rFonts w:ascii="Times New Roman" w:eastAsiaTheme="minorEastAsia" w:hAnsi="Times New Roman" w:cs="Times New Roman"/>
          <w:sz w:val="28"/>
          <w:szCs w:val="28"/>
        </w:rPr>
        <w:t xml:space="preserve">  ,</w:t>
      </w:r>
      <w:proofErr w:type="gramEnd"/>
      <w:r w:rsidR="00685B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66325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</w:p>
    <w:p w:rsidR="00C2186C" w:rsidRPr="00672D60" w:rsidRDefault="00166325" w:rsidP="00685BDC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72D60">
        <w:rPr>
          <w:rFonts w:ascii="Times New Roman" w:eastAsiaTheme="minorEastAsia" w:hAnsi="Times New Roman" w:cs="Times New Roman"/>
          <w:sz w:val="28"/>
          <w:szCs w:val="28"/>
          <w:lang w:val="en-US"/>
        </w:rPr>
        <w:t>NI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– изменение чистого процентного дохода банка,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∆</m:t>
        </m:r>
      </m:oMath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72D60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– изменение уровня процентных ставок, </w:t>
      </w:r>
      <w:r w:rsidRPr="00672D60">
        <w:rPr>
          <w:rFonts w:ascii="Times New Roman" w:eastAsiaTheme="minorEastAsia" w:hAnsi="Times New Roman" w:cs="Times New Roman"/>
          <w:sz w:val="28"/>
          <w:szCs w:val="28"/>
          <w:lang w:val="en-US"/>
        </w:rPr>
        <w:t>GAP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– разрыв</w:t>
      </w:r>
      <w:r w:rsidR="00685B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>между активами и пассивами.</w:t>
      </w:r>
      <w:proofErr w:type="gram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A2DF5" w:rsidRPr="00672D60" w:rsidRDefault="00CA2DF5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  Формула показывает, сколько банк имеет дополнительных доходов или расходов при изменении процентной ставки на определённую величину.</w:t>
      </w:r>
    </w:p>
    <w:p w:rsidR="00CA2DF5" w:rsidRPr="00672D60" w:rsidRDefault="00CA2DF5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В) Расчет </w:t>
      </w:r>
      <w:proofErr w:type="gramStart"/>
      <w:r w:rsidRPr="00672D60">
        <w:rPr>
          <w:rFonts w:ascii="Times New Roman" w:eastAsiaTheme="minorEastAsia" w:hAnsi="Times New Roman" w:cs="Times New Roman"/>
          <w:sz w:val="28"/>
          <w:szCs w:val="28"/>
        </w:rPr>
        <w:t>накопленного</w:t>
      </w:r>
      <w:proofErr w:type="gram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72D60">
        <w:rPr>
          <w:rFonts w:ascii="Times New Roman" w:eastAsiaTheme="minorEastAsia" w:hAnsi="Times New Roman" w:cs="Times New Roman"/>
          <w:sz w:val="28"/>
          <w:szCs w:val="28"/>
        </w:rPr>
        <w:t>ГЭПа</w:t>
      </w:r>
      <w:proofErr w:type="spellEnd"/>
      <w:r w:rsidRPr="00672D6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2DF5" w:rsidRPr="00672D60" w:rsidRDefault="00CA2DF5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gramStart"/>
      <w:r w:rsidRPr="00672D60">
        <w:rPr>
          <w:rFonts w:ascii="Times New Roman" w:eastAsiaTheme="minorEastAsia" w:hAnsi="Times New Roman" w:cs="Times New Roman"/>
          <w:sz w:val="28"/>
          <w:szCs w:val="28"/>
        </w:rPr>
        <w:t>Накопленный</w:t>
      </w:r>
      <w:proofErr w:type="gram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ГЭП – это сумма абсолютных </w:t>
      </w:r>
      <w:proofErr w:type="spellStart"/>
      <w:r w:rsidRPr="00672D60">
        <w:rPr>
          <w:rFonts w:ascii="Times New Roman" w:eastAsiaTheme="minorEastAsia" w:hAnsi="Times New Roman" w:cs="Times New Roman"/>
          <w:sz w:val="28"/>
          <w:szCs w:val="28"/>
        </w:rPr>
        <w:t>ГЭПов</w:t>
      </w:r>
      <w:proofErr w:type="spell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по отдельным периодам внутри определенного срока. Если к концу срока показатель равен 0, то коммерческий банк, скорее всего, получит запланированную процентную маржу.</w:t>
      </w:r>
    </w:p>
    <w:p w:rsidR="00CA2DF5" w:rsidRPr="00672D60" w:rsidRDefault="00B2344D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  Мировая банковская практика выработала следующие показатели оценки величины </w:t>
      </w:r>
      <w:proofErr w:type="spellStart"/>
      <w:r w:rsidRPr="00672D60">
        <w:rPr>
          <w:rFonts w:ascii="Times New Roman" w:eastAsiaTheme="minorEastAsia" w:hAnsi="Times New Roman" w:cs="Times New Roman"/>
          <w:sz w:val="28"/>
          <w:szCs w:val="28"/>
        </w:rPr>
        <w:t>ГЭПа</w:t>
      </w:r>
      <w:proofErr w:type="spellEnd"/>
      <w:r w:rsidR="00BB3646" w:rsidRPr="00672D60">
        <w:rPr>
          <w:rFonts w:ascii="Times New Roman" w:eastAsiaTheme="minorEastAsia" w:hAnsi="Times New Roman" w:cs="Times New Roman"/>
          <w:sz w:val="28"/>
          <w:szCs w:val="28"/>
        </w:rPr>
        <w:t>, характеризующие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валютную позицию банка</w:t>
      </w:r>
      <w:r w:rsidR="00BB3646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, то есть 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соотношение </w:t>
      </w:r>
      <w:r w:rsidR="00BB3646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его 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>активов и пассивов в соответствующих</w:t>
      </w:r>
      <w:r w:rsidR="00BB3646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валютах. По ней</w:t>
      </w:r>
      <w:r w:rsidR="00C739AB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он </w:t>
      </w:r>
      <w:r w:rsidR="00BB3646" w:rsidRPr="00672D60">
        <w:rPr>
          <w:rFonts w:ascii="Times New Roman" w:eastAsiaTheme="minorEastAsia" w:hAnsi="Times New Roman" w:cs="Times New Roman"/>
          <w:sz w:val="28"/>
          <w:szCs w:val="28"/>
        </w:rPr>
        <w:t>планирует получать доход с операций в иностранной валюте. Они</w:t>
      </w:r>
      <w:r w:rsidR="00C739AB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исходят из соотношения </w:t>
      </w:r>
      <w:r w:rsidRPr="00672D60">
        <w:rPr>
          <w:rFonts w:ascii="Times New Roman" w:eastAsiaTheme="minorEastAsia" w:hAnsi="Times New Roman" w:cs="Times New Roman"/>
          <w:sz w:val="28"/>
          <w:szCs w:val="28"/>
          <w:lang w:val="en-US"/>
        </w:rPr>
        <w:t>GAP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>/Активы</w:t>
      </w:r>
      <w:r w:rsidR="00BB3646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и чем оно больше, тем больше процентный риск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>: меньше 10% - нормальная позиция</w:t>
      </w:r>
      <w:r w:rsidR="00C739AB" w:rsidRPr="00672D60">
        <w:rPr>
          <w:rFonts w:ascii="Times New Roman" w:eastAsiaTheme="minorEastAsia" w:hAnsi="Times New Roman" w:cs="Times New Roman"/>
          <w:sz w:val="28"/>
          <w:szCs w:val="28"/>
        </w:rPr>
        <w:t>; 10-12% - позиция на краткосрочный период</w:t>
      </w:r>
      <w:proofErr w:type="gramStart"/>
      <w:r w:rsidR="00A13E13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3646" w:rsidRPr="00672D60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="00BB3646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12-15% - позиция на долгосрочный период; более 15% - спекулятивная позиция с наивысшим риском. </w:t>
      </w:r>
      <w:r w:rsidR="00A13E13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</w:t>
      </w:r>
      <w:r w:rsidR="00A13E13" w:rsidRPr="00672D6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данный метод позволяет не только делать определенные выводы об изменении чистого процентного дохода, но и предвидеть образование отрицательной процентной маржи, а также дает сигналы к хеджированию процентной позиции. </w:t>
      </w:r>
    </w:p>
    <w:p w:rsidR="00020899" w:rsidRPr="00672D60" w:rsidRDefault="0043453E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  4) </w:t>
      </w:r>
      <w:r w:rsidR="00D34993" w:rsidRPr="00672D60">
        <w:rPr>
          <w:rFonts w:ascii="Times New Roman" w:eastAsiaTheme="minorEastAsia" w:hAnsi="Times New Roman" w:cs="Times New Roman"/>
          <w:sz w:val="28"/>
          <w:szCs w:val="28"/>
        </w:rPr>
        <w:t>Чтобы спрогнозировать изменения рыночной стоимости активов и пассивов на основе сроков движения денежных средств</w:t>
      </w:r>
      <w:r w:rsidR="00914AAB" w:rsidRPr="00672D60">
        <w:rPr>
          <w:rFonts w:ascii="Times New Roman" w:eastAsiaTheme="minorEastAsia" w:hAnsi="Times New Roman" w:cs="Times New Roman"/>
          <w:sz w:val="28"/>
          <w:szCs w:val="28"/>
        </w:rPr>
        <w:t>, то есть погашения</w:t>
      </w:r>
      <w:r w:rsidR="00D34993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основного долга и процентных платежей, используется </w:t>
      </w:r>
      <w:proofErr w:type="spellStart"/>
      <w:r w:rsidR="00D34993" w:rsidRPr="00672D60">
        <w:rPr>
          <w:rFonts w:ascii="Times New Roman" w:eastAsiaTheme="minorEastAsia" w:hAnsi="Times New Roman" w:cs="Times New Roman"/>
          <w:sz w:val="28"/>
          <w:szCs w:val="28"/>
        </w:rPr>
        <w:t>дюрация</w:t>
      </w:r>
      <w:proofErr w:type="spellEnd"/>
      <w:r w:rsidR="00D34993" w:rsidRPr="00672D60">
        <w:rPr>
          <w:rFonts w:ascii="Times New Roman" w:eastAsiaTheme="minorEastAsia" w:hAnsi="Times New Roman" w:cs="Times New Roman"/>
          <w:sz w:val="28"/>
          <w:szCs w:val="28"/>
        </w:rPr>
        <w:t>. Она представляет собой показатель среднего времени для переоценки финансового инструмента. Любой эмитированный финансовый инструмент порождает денежный поток. Он может происходить единожды, тогда его длительность (</w:t>
      </w:r>
      <w:proofErr w:type="spellStart"/>
      <w:r w:rsidR="00D34993" w:rsidRPr="00672D60">
        <w:rPr>
          <w:rFonts w:ascii="Times New Roman" w:eastAsiaTheme="minorEastAsia" w:hAnsi="Times New Roman" w:cs="Times New Roman"/>
          <w:sz w:val="28"/>
          <w:szCs w:val="28"/>
        </w:rPr>
        <w:t>дюрация</w:t>
      </w:r>
      <w:proofErr w:type="spellEnd"/>
      <w:r w:rsidR="00D34993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) будет равна сроку погашения, а может несколько раз и тогда длительность будет меньше срока погашения. Таким образом, </w:t>
      </w:r>
      <w:proofErr w:type="spellStart"/>
      <w:r w:rsidR="00D34993" w:rsidRPr="00672D60">
        <w:rPr>
          <w:rFonts w:ascii="Times New Roman" w:eastAsiaTheme="minorEastAsia" w:hAnsi="Times New Roman" w:cs="Times New Roman"/>
          <w:sz w:val="28"/>
          <w:szCs w:val="28"/>
        </w:rPr>
        <w:t>дюрация</w:t>
      </w:r>
      <w:proofErr w:type="spellEnd"/>
      <w:r w:rsidR="00D34993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показывает средневзвешенный срок поступления доходов. </w:t>
      </w:r>
    </w:p>
    <w:p w:rsidR="0043453E" w:rsidRPr="00672D60" w:rsidRDefault="00020899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D34993" w:rsidRPr="00672D60">
        <w:rPr>
          <w:rFonts w:ascii="Times New Roman" w:eastAsiaTheme="minorEastAsia" w:hAnsi="Times New Roman" w:cs="Times New Roman"/>
          <w:sz w:val="28"/>
          <w:szCs w:val="28"/>
        </w:rPr>
        <w:t>Для простоты р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>ассмотрим данный способ оценки процентного риска</w:t>
      </w:r>
      <w:r w:rsidR="00D34993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на примере облигации. </w:t>
      </w:r>
      <w:proofErr w:type="spellStart"/>
      <w:r w:rsidRPr="00672D60">
        <w:rPr>
          <w:rFonts w:ascii="Times New Roman" w:eastAsiaTheme="minorEastAsia" w:hAnsi="Times New Roman" w:cs="Times New Roman"/>
          <w:sz w:val="28"/>
          <w:szCs w:val="28"/>
        </w:rPr>
        <w:t>Дюрация</w:t>
      </w:r>
      <w:proofErr w:type="spell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облигации - количество лет, необходимых для того, чтобы вернуть понесённые затраты на облигацию, включая приведенную стоимость всех будущих купонных выплат и номинала самой облигации</w:t>
      </w:r>
      <w:r w:rsidR="00914AAB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. И если у облигации с нулевым купоном </w:t>
      </w:r>
      <w:proofErr w:type="spellStart"/>
      <w:r w:rsidR="00914AAB" w:rsidRPr="00672D60">
        <w:rPr>
          <w:rFonts w:ascii="Times New Roman" w:eastAsiaTheme="minorEastAsia" w:hAnsi="Times New Roman" w:cs="Times New Roman"/>
          <w:sz w:val="28"/>
          <w:szCs w:val="28"/>
        </w:rPr>
        <w:t>дюрация</w:t>
      </w:r>
      <w:proofErr w:type="spellEnd"/>
      <w:r w:rsidR="00914AAB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равна времени погашения, то у традиционной облигации </w:t>
      </w:r>
      <w:proofErr w:type="spellStart"/>
      <w:r w:rsidR="00914AAB" w:rsidRPr="00672D60">
        <w:rPr>
          <w:rFonts w:ascii="Times New Roman" w:eastAsiaTheme="minorEastAsia" w:hAnsi="Times New Roman" w:cs="Times New Roman"/>
          <w:sz w:val="28"/>
          <w:szCs w:val="28"/>
        </w:rPr>
        <w:t>дюрация</w:t>
      </w:r>
      <w:proofErr w:type="spellEnd"/>
      <w:r w:rsidR="00914AAB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будет всегда меньше срока погашения. Во втором случае – чем выше ставка купона облигации, тем меньше срок ее </w:t>
      </w:r>
      <w:proofErr w:type="spellStart"/>
      <w:r w:rsidR="00914AAB" w:rsidRPr="00672D60">
        <w:rPr>
          <w:rFonts w:ascii="Times New Roman" w:eastAsiaTheme="minorEastAsia" w:hAnsi="Times New Roman" w:cs="Times New Roman"/>
          <w:sz w:val="28"/>
          <w:szCs w:val="28"/>
        </w:rPr>
        <w:t>дюрации</w:t>
      </w:r>
      <w:proofErr w:type="spellEnd"/>
      <w:r w:rsidR="00914AAB" w:rsidRPr="00672D60">
        <w:rPr>
          <w:rFonts w:ascii="Times New Roman" w:eastAsiaTheme="minorEastAsia" w:hAnsi="Times New Roman" w:cs="Times New Roman"/>
          <w:sz w:val="28"/>
          <w:szCs w:val="28"/>
        </w:rPr>
        <w:t>, то есть держатель быстрее вернет свои инвестиции и наоборот.</w:t>
      </w:r>
      <w:r w:rsidR="00123E8D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Однако, чем больше срок погашения облигации, тем больше ее </w:t>
      </w:r>
      <w:proofErr w:type="spellStart"/>
      <w:r w:rsidR="00123E8D" w:rsidRPr="00672D60">
        <w:rPr>
          <w:rFonts w:ascii="Times New Roman" w:eastAsiaTheme="minorEastAsia" w:hAnsi="Times New Roman" w:cs="Times New Roman"/>
          <w:sz w:val="28"/>
          <w:szCs w:val="28"/>
        </w:rPr>
        <w:t>дюрация</w:t>
      </w:r>
      <w:proofErr w:type="spellEnd"/>
      <w:r w:rsidR="00123E8D" w:rsidRPr="00672D60">
        <w:rPr>
          <w:rFonts w:ascii="Times New Roman" w:eastAsiaTheme="minorEastAsia" w:hAnsi="Times New Roman" w:cs="Times New Roman"/>
          <w:sz w:val="28"/>
          <w:szCs w:val="28"/>
        </w:rPr>
        <w:t>, так как в длительный период выплаты наиболее подвержены инфляции.</w:t>
      </w:r>
      <w:r w:rsidR="005213E0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Необходимо понимать, что </w:t>
      </w:r>
      <w:proofErr w:type="spellStart"/>
      <w:r w:rsidR="005213E0" w:rsidRPr="00672D60">
        <w:rPr>
          <w:rFonts w:ascii="Times New Roman" w:eastAsiaTheme="minorEastAsia" w:hAnsi="Times New Roman" w:cs="Times New Roman"/>
          <w:sz w:val="28"/>
          <w:szCs w:val="28"/>
        </w:rPr>
        <w:t>дюрация</w:t>
      </w:r>
      <w:proofErr w:type="spellEnd"/>
      <w:r w:rsidR="005213E0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– это показатель изменения процентного риска облигации, при котором учитываются все характеристики стоимости облигации (номинал, ставка купона, срок до погашения). Она показывает, как </w:t>
      </w:r>
      <w:r w:rsidR="005213E0" w:rsidRPr="00672D60">
        <w:rPr>
          <w:rFonts w:ascii="Times New Roman" w:eastAsiaTheme="minorEastAsia" w:hAnsi="Times New Roman" w:cs="Times New Roman"/>
          <w:sz w:val="28"/>
          <w:szCs w:val="28"/>
        </w:rPr>
        <w:lastRenderedPageBreak/>
        <w:t>изменится цена, если изменяется процентная ставка.</w:t>
      </w:r>
      <w:r w:rsidR="0077614E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Для расчета </w:t>
      </w:r>
      <w:proofErr w:type="spellStart"/>
      <w:r w:rsidR="0077614E" w:rsidRPr="00672D60">
        <w:rPr>
          <w:rFonts w:ascii="Times New Roman" w:eastAsiaTheme="minorEastAsia" w:hAnsi="Times New Roman" w:cs="Times New Roman"/>
          <w:sz w:val="28"/>
          <w:szCs w:val="28"/>
        </w:rPr>
        <w:t>дюрации</w:t>
      </w:r>
      <w:proofErr w:type="spellEnd"/>
      <w:r w:rsidR="0077614E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применяется формула </w:t>
      </w:r>
      <w:proofErr w:type="spellStart"/>
      <w:r w:rsidR="0077614E" w:rsidRPr="00672D60">
        <w:rPr>
          <w:rFonts w:ascii="Times New Roman" w:eastAsiaTheme="minorEastAsia" w:hAnsi="Times New Roman" w:cs="Times New Roman"/>
          <w:sz w:val="28"/>
          <w:szCs w:val="28"/>
        </w:rPr>
        <w:t>Маколея</w:t>
      </w:r>
      <w:proofErr w:type="spellEnd"/>
      <w:r w:rsidR="0077614E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D=(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t*C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n*M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)/P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245637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, где</w:t>
      </w:r>
    </w:p>
    <w:p w:rsidR="00245637" w:rsidRPr="00672D60" w:rsidRDefault="00245637" w:rsidP="00685BDC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672D60">
        <w:rPr>
          <w:rFonts w:ascii="Times New Roman" w:eastAsiaTheme="minorEastAsia" w:hAnsi="Times New Roman" w:cs="Times New Roman"/>
          <w:sz w:val="28"/>
          <w:szCs w:val="28"/>
        </w:rPr>
        <w:t>количество</w:t>
      </w:r>
      <w:proofErr w:type="gram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денежных потоков</w:t>
      </w:r>
    </w:p>
    <w:p w:rsidR="00245637" w:rsidRPr="00672D60" w:rsidRDefault="00245637" w:rsidP="00685BDC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672D60">
        <w:rPr>
          <w:rFonts w:ascii="Times New Roman" w:eastAsiaTheme="minorEastAsia" w:hAnsi="Times New Roman" w:cs="Times New Roman"/>
          <w:sz w:val="28"/>
          <w:szCs w:val="28"/>
        </w:rPr>
        <w:t>время</w:t>
      </w:r>
      <w:proofErr w:type="gram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до погашения</w:t>
      </w:r>
    </w:p>
    <w:p w:rsidR="00245637" w:rsidRPr="00672D60" w:rsidRDefault="00245637" w:rsidP="00685BDC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672D60">
        <w:rPr>
          <w:rFonts w:ascii="Times New Roman" w:eastAsiaTheme="minorEastAsia" w:hAnsi="Times New Roman" w:cs="Times New Roman"/>
          <w:sz w:val="28"/>
          <w:szCs w:val="28"/>
        </w:rPr>
        <w:t>денежный</w:t>
      </w:r>
      <w:proofErr w:type="gram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поток</w:t>
      </w:r>
    </w:p>
    <w:p w:rsidR="00245637" w:rsidRPr="00672D60" w:rsidRDefault="00245637" w:rsidP="00685BDC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672D60">
        <w:rPr>
          <w:rFonts w:ascii="Times New Roman" w:eastAsiaTheme="minorEastAsia" w:hAnsi="Times New Roman" w:cs="Times New Roman"/>
          <w:sz w:val="28"/>
          <w:szCs w:val="28"/>
        </w:rPr>
        <w:t>требуемая</w:t>
      </w:r>
      <w:proofErr w:type="gram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доходность</w:t>
      </w:r>
    </w:p>
    <w:p w:rsidR="00245637" w:rsidRPr="00672D60" w:rsidRDefault="00245637" w:rsidP="00685BDC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672D60">
        <w:rPr>
          <w:rFonts w:ascii="Times New Roman" w:eastAsiaTheme="minorEastAsia" w:hAnsi="Times New Roman" w:cs="Times New Roman"/>
          <w:sz w:val="28"/>
          <w:szCs w:val="28"/>
        </w:rPr>
        <w:t>погашение</w:t>
      </w:r>
      <w:proofErr w:type="gram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номинальной стоимости</w:t>
      </w:r>
    </w:p>
    <w:p w:rsidR="00245637" w:rsidRPr="00672D60" w:rsidRDefault="00245637" w:rsidP="00685BDC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672D60">
        <w:rPr>
          <w:rFonts w:ascii="Times New Roman" w:eastAsiaTheme="minorEastAsia" w:hAnsi="Times New Roman" w:cs="Times New Roman"/>
          <w:sz w:val="28"/>
          <w:szCs w:val="28"/>
        </w:rPr>
        <w:t>цена</w:t>
      </w:r>
      <w:proofErr w:type="gram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облигации</w:t>
      </w:r>
      <w:r w:rsidR="003831C8" w:rsidRPr="00672D6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831C8" w:rsidRPr="00672D60" w:rsidRDefault="003831C8" w:rsidP="00685BDC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>Для того</w:t>
      </w:r>
      <w:proofErr w:type="gramStart"/>
      <w:r w:rsidRPr="00672D60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чтобы узнать как меняется </w:t>
      </w:r>
      <w:proofErr w:type="spellStart"/>
      <w:r w:rsidRPr="00672D60">
        <w:rPr>
          <w:rFonts w:ascii="Times New Roman" w:eastAsiaTheme="minorEastAsia" w:hAnsi="Times New Roman" w:cs="Times New Roman"/>
          <w:sz w:val="28"/>
          <w:szCs w:val="28"/>
        </w:rPr>
        <w:t>дюрация</w:t>
      </w:r>
      <w:proofErr w:type="spell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при изменении доходности на 1% применяется модифицированная </w:t>
      </w:r>
      <w:proofErr w:type="spellStart"/>
      <w:r w:rsidRPr="00672D60">
        <w:rPr>
          <w:rFonts w:ascii="Times New Roman" w:eastAsiaTheme="minorEastAsia" w:hAnsi="Times New Roman" w:cs="Times New Roman"/>
          <w:sz w:val="28"/>
          <w:szCs w:val="28"/>
        </w:rPr>
        <w:t>дюрация</w:t>
      </w:r>
      <w:proofErr w:type="spell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3831C8" w:rsidRPr="00672D60" w:rsidRDefault="003831C8" w:rsidP="00685BDC">
      <w:pPr>
        <w:spacing w:line="36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Мод. Дюрация=(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1+доходность до погашения/колич. купонных периодов в год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:rsidR="00140C4D" w:rsidRPr="00672D60" w:rsidRDefault="00140C4D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  Чтобы минимизировать изменчивость уровня доходности через изменение процентных ставок коммерческие банки устанавливают плановый период хранения ценных бумаг </w:t>
      </w:r>
      <w:proofErr w:type="gramStart"/>
      <w:r w:rsidRPr="00672D60">
        <w:rPr>
          <w:rFonts w:ascii="Times New Roman" w:eastAsiaTheme="minorEastAsia" w:hAnsi="Times New Roman" w:cs="Times New Roman"/>
          <w:sz w:val="28"/>
          <w:szCs w:val="28"/>
        </w:rPr>
        <w:t>равным</w:t>
      </w:r>
      <w:proofErr w:type="gramEnd"/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его </w:t>
      </w:r>
      <w:proofErr w:type="spellStart"/>
      <w:r w:rsidRPr="00672D60">
        <w:rPr>
          <w:rFonts w:ascii="Times New Roman" w:eastAsiaTheme="minorEastAsia" w:hAnsi="Times New Roman" w:cs="Times New Roman"/>
          <w:sz w:val="28"/>
          <w:szCs w:val="28"/>
        </w:rPr>
        <w:t>дюрации</w:t>
      </w:r>
      <w:proofErr w:type="spellEnd"/>
      <w:r w:rsidRPr="00672D6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130D0" w:rsidRPr="00672D60" w:rsidRDefault="000130D0" w:rsidP="00685BD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  Подводя итог, следует сказать, что любой коммерческий банк подвержен влиянию изменений процентных ставок. Принятие на себя процентного риска может быть источником и дополнительной прибыли и убытков.</w:t>
      </w:r>
      <w:r w:rsidR="000101D9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Однако, как выявлять причины риска, корректировать его степень влияния и просчитывать последствия решает сам банк в рамках своей установленной политики. Управление активами и обязательствами представляет собой непрерывный процесс, так как процентные ставки являются переменными величинами, изменяющимися под воздействием </w:t>
      </w:r>
      <w:r w:rsidR="007E1A92" w:rsidRPr="00672D60">
        <w:rPr>
          <w:rFonts w:ascii="Times New Roman" w:eastAsiaTheme="minorEastAsia" w:hAnsi="Times New Roman" w:cs="Times New Roman"/>
          <w:sz w:val="28"/>
          <w:szCs w:val="28"/>
        </w:rPr>
        <w:t>внешних факторов.</w:t>
      </w:r>
      <w:r w:rsidR="000101D9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1A92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Вышеперечисленные </w:t>
      </w:r>
      <w:r w:rsidR="000101D9" w:rsidRPr="00672D60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7E1A92" w:rsidRPr="00672D60">
        <w:rPr>
          <w:rFonts w:ascii="Times New Roman" w:eastAsiaTheme="minorEastAsia" w:hAnsi="Times New Roman" w:cs="Times New Roman"/>
          <w:sz w:val="28"/>
          <w:szCs w:val="28"/>
        </w:rPr>
        <w:t>пособы оценки процентного риска позволяют пред</w:t>
      </w:r>
      <w:r w:rsidR="00D70BA4" w:rsidRPr="00672D60">
        <w:rPr>
          <w:rFonts w:ascii="Times New Roman" w:eastAsiaTheme="minorEastAsia" w:hAnsi="Times New Roman" w:cs="Times New Roman"/>
          <w:sz w:val="28"/>
          <w:szCs w:val="28"/>
        </w:rPr>
        <w:t>угадать и избежать надвигающиеся</w:t>
      </w:r>
      <w:r w:rsidR="007E1A92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на банк угр</w:t>
      </w:r>
      <w:r w:rsidR="00D70BA4" w:rsidRPr="00672D60">
        <w:rPr>
          <w:rFonts w:ascii="Times New Roman" w:eastAsiaTheme="minorEastAsia" w:hAnsi="Times New Roman" w:cs="Times New Roman"/>
          <w:sz w:val="28"/>
          <w:szCs w:val="28"/>
        </w:rPr>
        <w:t>озы</w:t>
      </w:r>
      <w:r w:rsidR="007E1A92" w:rsidRPr="00672D6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2089C" w:rsidRPr="00672D60" w:rsidRDefault="00E2089C" w:rsidP="00685BDC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45637" w:rsidRPr="00672D60" w:rsidRDefault="00245637" w:rsidP="00685BDC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66325" w:rsidRPr="00672D60" w:rsidRDefault="00166325" w:rsidP="00685BDC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8504B" w:rsidRPr="00672D60" w:rsidRDefault="00465436" w:rsidP="00685BDC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F3422" w:rsidRPr="00672D60" w:rsidRDefault="0013020C" w:rsidP="00685BDC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504B" w:rsidRPr="00672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F3422" w:rsidRPr="00672D60" w:rsidRDefault="00CF3422" w:rsidP="00685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030C" w:rsidRPr="00672D60" w:rsidRDefault="00480FDB" w:rsidP="00685BDC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1. 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Финансы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Толковый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словарь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2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изд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 —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ИНФРА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",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Издательство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Весь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Мир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Брайен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Батлер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Брайен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Джонсон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Грэм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Сидуэл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др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Общая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редакция: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д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э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Осадчая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="00A1030C" w:rsidRPr="00672D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1030C" w:rsidRPr="00672D6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2000</w:t>
      </w:r>
      <w:r w:rsidR="00A1030C" w:rsidRPr="00672D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030C" w:rsidRPr="00672D60" w:rsidRDefault="00480FDB" w:rsidP="00685BD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60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="00A1030C" w:rsidRPr="00672D60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О.И. Лаврушин. Банковские риски : учебное пособие / кол. авторов ; под ред. д-ра </w:t>
        </w:r>
        <w:proofErr w:type="spellStart"/>
        <w:r w:rsidR="00A1030C" w:rsidRPr="00672D60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экон</w:t>
        </w:r>
        <w:proofErr w:type="spellEnd"/>
        <w:r w:rsidR="00A1030C" w:rsidRPr="00672D60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. наук, проф. О.И. Лаврушина и д-ра </w:t>
        </w:r>
        <w:proofErr w:type="spellStart"/>
        <w:r w:rsidR="00A1030C" w:rsidRPr="00672D60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экон</w:t>
        </w:r>
        <w:proofErr w:type="spellEnd"/>
        <w:r w:rsidR="00A1030C" w:rsidRPr="00672D60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. наук, проф. Н.И. Вале</w:t>
        </w:r>
        <w:proofErr w:type="gramStart"/>
        <w:r w:rsidR="00A1030C" w:rsidRPr="00672D60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н-</w:t>
        </w:r>
        <w:proofErr w:type="gramEnd"/>
        <w:r w:rsidR="00A1030C" w:rsidRPr="00672D60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A1030C" w:rsidRPr="00672D60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цевой</w:t>
        </w:r>
        <w:proofErr w:type="spellEnd"/>
        <w:r w:rsidR="00A1030C" w:rsidRPr="00672D60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. - М.: КНОРУС,2007. - 232 с.. 2007</w:t>
        </w:r>
      </w:hyperlink>
    </w:p>
    <w:p w:rsidR="00A1030C" w:rsidRPr="00672D60" w:rsidRDefault="00480FDB" w:rsidP="00685BD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A1030C"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="00A1030C"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Г.М. Кредитование малого бизнеса в современных коммерческих банках России [Текст] / Г.М..</w:t>
      </w:r>
      <w:proofErr w:type="spellStart"/>
      <w:r w:rsidR="00A1030C"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="00A1030C"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="00A1030C"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</w:t>
      </w:r>
      <w:proofErr w:type="gramStart"/>
      <w:r w:rsidR="00A1030C"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A1030C"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proofErr w:type="spellEnd"/>
      <w:r w:rsidR="00A1030C"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инновации: материалы Международной научно-практической конферен-ци..Челябинск,2016. – Ч 1- С.115-117.</w:t>
      </w:r>
    </w:p>
    <w:p w:rsidR="00A1030C" w:rsidRPr="00672D60" w:rsidRDefault="00480FDB" w:rsidP="00685BD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A1030C"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="00A1030C"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Г.М. Финансово-кредитная поддержка предпринимательства [Текст] / Г.М..</w:t>
      </w:r>
      <w:proofErr w:type="spellStart"/>
      <w:r w:rsidR="00A1030C"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="00A1030C"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="00A1030C"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</w:t>
      </w:r>
      <w:proofErr w:type="gramStart"/>
      <w:r w:rsidR="00A1030C"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A1030C"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proofErr w:type="spellEnd"/>
      <w:r w:rsidR="00A1030C"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инновации: международная научно-практическая конференция (28 декабря 2015г.) Ч 1.- С.111-114.</w:t>
      </w:r>
    </w:p>
    <w:p w:rsidR="00BE757F" w:rsidRPr="00672D60" w:rsidRDefault="00BE757F" w:rsidP="00685BD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Скороход А.Ю. Хеджирование рисков инвесторов фьючерсами и опционами. Диссертация на соискание ученой степени кандидата экономических наук / Санкт-Петербургский государственный университет. Санкт-Петербург, 2003</w:t>
      </w:r>
    </w:p>
    <w:p w:rsidR="00BE757F" w:rsidRPr="00672D60" w:rsidRDefault="00BE757F" w:rsidP="00685BD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Скороход А.Ю. Тенденции и перспективы развития банковских операций на фондовом рынке. В сборнике: Финансовые проблемы и пути их решения: теория и практика Сборник научных трудов 15-й Международной научно-практической конференции. </w:t>
      </w:r>
      <w:proofErr w:type="gramStart"/>
      <w:r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выпуск:</w:t>
      </w:r>
      <w:proofErr w:type="gramEnd"/>
      <w:r w:rsidRPr="0067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Д.Г. Родионов; Санкт-Петербургский государственный политехнический университет. 2014. С. 347-349.</w:t>
      </w:r>
    </w:p>
    <w:p w:rsidR="00BD0696" w:rsidRPr="00AA5CEC" w:rsidRDefault="00BD0696" w:rsidP="00685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593" w:rsidRPr="002F567F" w:rsidRDefault="00261593" w:rsidP="00685B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261593" w:rsidRPr="002F567F" w:rsidSect="00AA5CEC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66C9"/>
    <w:multiLevelType w:val="multilevel"/>
    <w:tmpl w:val="DDE4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7F"/>
    <w:rsid w:val="000101D9"/>
    <w:rsid w:val="000130D0"/>
    <w:rsid w:val="00020899"/>
    <w:rsid w:val="00065396"/>
    <w:rsid w:val="00075B95"/>
    <w:rsid w:val="0007746A"/>
    <w:rsid w:val="000972BF"/>
    <w:rsid w:val="00123E8D"/>
    <w:rsid w:val="0013020C"/>
    <w:rsid w:val="00140C4D"/>
    <w:rsid w:val="00166325"/>
    <w:rsid w:val="001A0F4D"/>
    <w:rsid w:val="001D0B93"/>
    <w:rsid w:val="00207DE6"/>
    <w:rsid w:val="00235C3A"/>
    <w:rsid w:val="00245637"/>
    <w:rsid w:val="002513DC"/>
    <w:rsid w:val="0025495A"/>
    <w:rsid w:val="00261593"/>
    <w:rsid w:val="002A5B39"/>
    <w:rsid w:val="002F16FA"/>
    <w:rsid w:val="002F567F"/>
    <w:rsid w:val="00316A3B"/>
    <w:rsid w:val="00353242"/>
    <w:rsid w:val="003831C8"/>
    <w:rsid w:val="00427E10"/>
    <w:rsid w:val="0043453E"/>
    <w:rsid w:val="00457628"/>
    <w:rsid w:val="00465436"/>
    <w:rsid w:val="00480FDB"/>
    <w:rsid w:val="0049483E"/>
    <w:rsid w:val="005213E0"/>
    <w:rsid w:val="00521FB0"/>
    <w:rsid w:val="005D44C7"/>
    <w:rsid w:val="005D45DA"/>
    <w:rsid w:val="006413F4"/>
    <w:rsid w:val="00672D60"/>
    <w:rsid w:val="00685BDC"/>
    <w:rsid w:val="00700C50"/>
    <w:rsid w:val="007028AF"/>
    <w:rsid w:val="0071766B"/>
    <w:rsid w:val="00753FF1"/>
    <w:rsid w:val="0077614E"/>
    <w:rsid w:val="007C6C3A"/>
    <w:rsid w:val="007D2597"/>
    <w:rsid w:val="007E1A92"/>
    <w:rsid w:val="007F56AE"/>
    <w:rsid w:val="007F5D8B"/>
    <w:rsid w:val="0087647B"/>
    <w:rsid w:val="008D4D2C"/>
    <w:rsid w:val="009131D0"/>
    <w:rsid w:val="00914AAB"/>
    <w:rsid w:val="00935110"/>
    <w:rsid w:val="009505C1"/>
    <w:rsid w:val="00972770"/>
    <w:rsid w:val="00994D94"/>
    <w:rsid w:val="009F206F"/>
    <w:rsid w:val="009F628E"/>
    <w:rsid w:val="00A1030C"/>
    <w:rsid w:val="00A13E13"/>
    <w:rsid w:val="00A20416"/>
    <w:rsid w:val="00A21EB7"/>
    <w:rsid w:val="00A64B23"/>
    <w:rsid w:val="00AA5CEC"/>
    <w:rsid w:val="00AD7648"/>
    <w:rsid w:val="00AF0A3D"/>
    <w:rsid w:val="00B14330"/>
    <w:rsid w:val="00B2344D"/>
    <w:rsid w:val="00B671DA"/>
    <w:rsid w:val="00BA28AE"/>
    <w:rsid w:val="00BB1CA5"/>
    <w:rsid w:val="00BB3646"/>
    <w:rsid w:val="00BB3CCD"/>
    <w:rsid w:val="00BB7D60"/>
    <w:rsid w:val="00BD0696"/>
    <w:rsid w:val="00BD614F"/>
    <w:rsid w:val="00BD6E6B"/>
    <w:rsid w:val="00BE757F"/>
    <w:rsid w:val="00C070FF"/>
    <w:rsid w:val="00C2186C"/>
    <w:rsid w:val="00C42ED5"/>
    <w:rsid w:val="00C4376C"/>
    <w:rsid w:val="00C540D1"/>
    <w:rsid w:val="00C739AB"/>
    <w:rsid w:val="00C87C68"/>
    <w:rsid w:val="00CA2DF5"/>
    <w:rsid w:val="00CC1881"/>
    <w:rsid w:val="00CE01EA"/>
    <w:rsid w:val="00CF3422"/>
    <w:rsid w:val="00CF6B14"/>
    <w:rsid w:val="00D010E1"/>
    <w:rsid w:val="00D11C17"/>
    <w:rsid w:val="00D34993"/>
    <w:rsid w:val="00D45486"/>
    <w:rsid w:val="00D70BA4"/>
    <w:rsid w:val="00D77A97"/>
    <w:rsid w:val="00D93B77"/>
    <w:rsid w:val="00DB2517"/>
    <w:rsid w:val="00DD2C61"/>
    <w:rsid w:val="00E04BB4"/>
    <w:rsid w:val="00E2089C"/>
    <w:rsid w:val="00E24654"/>
    <w:rsid w:val="00E8504B"/>
    <w:rsid w:val="00FA32A7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74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7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0696"/>
    <w:rPr>
      <w:color w:val="0000FF"/>
      <w:u w:val="single"/>
    </w:rPr>
  </w:style>
  <w:style w:type="character" w:styleId="a7">
    <w:name w:val="Emphasis"/>
    <w:basedOn w:val="a0"/>
    <w:uiPriority w:val="20"/>
    <w:qFormat/>
    <w:rsid w:val="00BD0696"/>
    <w:rPr>
      <w:i/>
      <w:iCs/>
    </w:rPr>
  </w:style>
  <w:style w:type="character" w:customStyle="1" w:styleId="w">
    <w:name w:val="w"/>
    <w:basedOn w:val="a0"/>
    <w:rsid w:val="00BD0696"/>
  </w:style>
  <w:style w:type="character" w:customStyle="1" w:styleId="apple-converted-space">
    <w:name w:val="apple-converted-space"/>
    <w:basedOn w:val="a0"/>
    <w:rsid w:val="00BD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74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7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0696"/>
    <w:rPr>
      <w:color w:val="0000FF"/>
      <w:u w:val="single"/>
    </w:rPr>
  </w:style>
  <w:style w:type="character" w:styleId="a7">
    <w:name w:val="Emphasis"/>
    <w:basedOn w:val="a0"/>
    <w:uiPriority w:val="20"/>
    <w:qFormat/>
    <w:rsid w:val="00BD0696"/>
    <w:rPr>
      <w:i/>
      <w:iCs/>
    </w:rPr>
  </w:style>
  <w:style w:type="character" w:customStyle="1" w:styleId="w">
    <w:name w:val="w"/>
    <w:basedOn w:val="a0"/>
    <w:rsid w:val="00BD0696"/>
  </w:style>
  <w:style w:type="character" w:customStyle="1" w:styleId="apple-converted-space">
    <w:name w:val="apple-converted-space"/>
    <w:basedOn w:val="a0"/>
    <w:rsid w:val="00BD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conomics.studio/riski-bankovskie/bankovskie-riski-uchebnoe-posobie-kol-avtor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06A4-92DE-4A68-A5A7-F818B09D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9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2017-04-13T13:44:00Z</dcterms:created>
  <dcterms:modified xsi:type="dcterms:W3CDTF">2017-05-25T17:45:00Z</dcterms:modified>
</cp:coreProperties>
</file>