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Государственное казенное профессиональное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Кабардино-Балкарский автомобильно-дорожный колледж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Министерства образования, науки и по делам молодежи КБР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Доклад на тему: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 "Применение активных форм и методов обучения на уроках математики"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подготовила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преподаватель математики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ГКПОУ КБАДК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Шогенова Заренма Шуровна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Нальчик 2017г.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математики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синтезирует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соединяет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равнодушие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нежелание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пытаются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дидактических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осмысленности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обусловлено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мыслительной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запоминание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воспроизведение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мыслительной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неимитационные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неимитационное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Неимитационные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Имитационные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Неигровые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вдвоём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заранее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запланированными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эвристическая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мозговой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штурм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инсценирование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разыгрывание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тренинг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конкретных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кейс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коллективная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мыслительная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неимитационных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обучаемыми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неигровые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“обязанностей”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отведенному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поликультурном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требуемый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эвристическая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дискуссия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коллективная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мыслительная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моделированного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неигровых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целенаправленно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сформулируй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выработай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альтернативную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“намеренно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сделанных”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Немаловажную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минуту”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интерактивные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on-line,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тренажеры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креативные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наилучшим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самовыражения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подойдут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модульные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диктанты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Мозговые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–конкурсы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викторины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олимпиады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увлечением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охотно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пропускают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услышанное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Использованная литература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Анцибор М.М. Активные формы и методы обучения. Тула 2007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Беспалько В.П. Программированное обучение. – М., 2006.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Гузеев В.В. Образовательная технология – М., 2005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Кларин М.В. Педагогическая технология в учебном процессе. – М., 2005.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Лернер И.Я. Дидактические основы методов обучения, М., 2006.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Лизинский В.М. Приемы и формы в учебной деятельности. М., 2006.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