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EE" w:rsidRDefault="00696DEE" w:rsidP="0016226B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96DEE">
        <w:rPr>
          <w:rFonts w:ascii="Times New Roman" w:hAnsi="Times New Roman" w:cs="Times New Roman"/>
          <w:spacing w:val="2"/>
          <w:sz w:val="28"/>
          <w:szCs w:val="28"/>
        </w:rPr>
        <w:t>Торяник Александра Геннадьевна</w:t>
      </w:r>
      <w:r w:rsidR="00842D6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842D64" w:rsidRPr="00696DEE" w:rsidRDefault="00842D64" w:rsidP="0016226B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аспирант</w:t>
      </w:r>
      <w:r w:rsidR="00711D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ТГМПИ им. С. В. Рахманинова</w:t>
      </w:r>
    </w:p>
    <w:p w:rsidR="00696DEE" w:rsidRDefault="00696DEE" w:rsidP="0016226B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96DEE" w:rsidRDefault="00696DEE" w:rsidP="0016226B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6226B" w:rsidRDefault="0016226B" w:rsidP="0016226B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6226B">
        <w:rPr>
          <w:rFonts w:ascii="Times New Roman" w:hAnsi="Times New Roman" w:cs="Times New Roman"/>
          <w:b/>
          <w:spacing w:val="2"/>
          <w:sz w:val="28"/>
          <w:szCs w:val="28"/>
        </w:rPr>
        <w:t>Репертуарная политика оркестра «Россияне»:</w:t>
      </w:r>
    </w:p>
    <w:p w:rsidR="0016226B" w:rsidRPr="0016226B" w:rsidRDefault="0016226B" w:rsidP="0016226B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6226B">
        <w:rPr>
          <w:rFonts w:ascii="Times New Roman" w:hAnsi="Times New Roman" w:cs="Times New Roman"/>
          <w:b/>
          <w:spacing w:val="2"/>
          <w:sz w:val="28"/>
          <w:szCs w:val="28"/>
        </w:rPr>
        <w:t>специфика проявления театральности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6226B">
        <w:rPr>
          <w:rFonts w:ascii="Times New Roman" w:hAnsi="Times New Roman" w:cs="Times New Roman"/>
          <w:bCs/>
          <w:spacing w:val="2"/>
          <w:sz w:val="28"/>
          <w:szCs w:val="28"/>
        </w:rPr>
        <w:t>Аспекты современного народно-инструментального исполнительства, составляющие теоретическую основу бытования жанра в современном концертно-исполнительском пространстве, продиктованы их практической реализацией, а также взаимодействием с некоторыми процессами, происходящими в сфере культуры и искусства в целом.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ательным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этом отношении может служить деятельность тамбовского оркестра русских народных инструментов «Россияне» и ансамбля солистов оркестра народных инструментов «Россияне» ТОГАУК «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Тамбовконцерт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», г. Тамбов (художественный руководитель и главный дирижер оркестра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—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Заслуженный деятель искусств России, профессор Ю. Храмов, руководитель ансамбля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лауреат международных конкурсов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Семишова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).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Обратимся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репертуарным программам ансамбля солистов оркест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ра, который начал свою работу в 1999 году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рамках вновь созданного абонемента «Россияне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детям», обозначив направленность своих концертных программ, главным образом, на детскую аудиторию. Идея создания на базе основного состава оркестра мобильного коллектива продиктована необходимостью многочисленных выступлений на концертных площадках города, районов и области. Все программы этого абонемента отличаются включением разнообразных форм театрализации. Речь пойдёт о так называемой «исполнительской» театрализации. 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Реализуя идею приобщения опре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делё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нной категории слушателей к мировому музыкальному искусству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народно-инструментальному в частности,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руководствуясь девизом «играя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обучаем», ансамбль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солистов включает в репертуар произведения различной жанровой направленности, исполнение которых сопровождается театральным действием, познавательными комментариями, тематическими конкурсами, в игровой форме воспитывающими эстетические вкусы молодого поколения.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Наиболее интересными для настоящего исследования являются постановки музыкальных спектаклей, основанные на сюжетах художественной литературы («Сказка о царе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Салтане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основе сюжета одноимённой сказки А. Пушкина, «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Бременские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музыканты»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 мотивам сказки братьев Гримм, «Музыкальные приключения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Элли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Тотошки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 сказочной повести А. Волкова «Волшебник Изумрудного города» и др.).</w:t>
      </w:r>
      <w:proofErr w:type="gram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Авторский сюжет представляет определенную сложность в реализации его постановки средствами народно-оркестрового исполнительства, так как сужает рамки репертуара: стилистика и форма произведений, сопровождающих линию повествования, музыкальные характеристики героев не только должны соответствовать характеру сюжета, но адекватно, убедительно звучать в исполнении дан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ного инструментального состава.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Объём литературы, созданной композиторами для народных инструментов,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то есть, собственной к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лассики,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отнюдь не велик и не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может ни по числу, ни по качеству соперничать,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к примеру,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огромным репертуарным багажом симфонического оркестра. Далеко не каждое произведение мировой музыкальной литературы мо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жет получить яркое воплощение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исполнении на 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ародных инструментах, поэтому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выбору сочинений для создания переложений нужно подходить очень тонко,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имея значительный опыт работы с такого рода материалом, и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данной ситуации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 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необходимостью учитывая особенности того или иного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литературного сюжета. Зачастую неизбежно приходится корр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ектировать сценарий спектакля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зависимости от репертуара, что служит источником некоторых допустимых сюжетных вариаций.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главных ролях повествований выступают не только участники ансамбля, но и юные артисты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воспитанники детских школ искусств, музыкальных школ, театральных и хореографических студий города. Причём, выступление это зачастую комплексное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роли героя пов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ествования неразрывно связано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исполнен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ием музыкального произведения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качестве солиста оркестра. Таким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образом, здесь можно говорить о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влиянии жанра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перформанса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Обязательным атрибутом музыкально-сценических постановок ансамбля солистов оркестра русских народных инструментов «Россияне» является применение декораций, костюмов и другой театральной атрибутики (дым, 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митация снегопада и др.). Как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любой театральной постановке, в концертных программах ансамбля важную роль играет световое оформление.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Для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сценического воплощения идеи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постановках привлекается ведущая концерта, выполняющая роль рассказчика или одного из главных персонажей. Поэтому произносимый ею текст является, как правило, не просто конферансом, а важной сюжетной составляющей.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Стремясь сделать восприятие музыки доступным публике, имеющей различный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слушательский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опыт, ансамбл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ь солистов активно использует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своих программах средства мультимедиа. Так, например, во время звучания произведений на экранах, установленных по двум сторонам сцены, транслируются видеофрагменты мультиплик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ационных фильмов, подобранные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соответствии с идеей, стилем и характером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сочинения. Нужно сказать, что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последнее время визуализация музыки стала д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овольно частым явлением в исполнительском искусстве.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Существует немало примеров музыкальных произведений для оркестра русских народных инструментов, где использование визуального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сопровождения является неотъемлемой частью композиторского замысла. Таковы, например, музыка В.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Бибергана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, написанная на сюжет мультипликационного фильма режиссёра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Аляшева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«Русские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потешки», музыка Н. 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Будашкина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фильму режиссёра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Роу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«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Морозко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».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Таким образом, синтезируя различные жанры и отдельные явления мировой музыкальной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художественной культуры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рамках народно-инструментального исполнительства, ансамбль солистов оркестра «Р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оссияне» реализует уникальные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своем роде творческие проекты, направленные на активное привлечение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слушательских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масс, развитие художественного вкуса новых покол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ений аудитории, знакомство их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лучшими образцами национально-самобытного музыкального творчества. Популярность и 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востребованность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этих программ обусловлена во многом применением сценических художественных методов.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Одной из показательных концертных программ ансамбля солистов оркестра «Россияне» является музыкальный спектакль «Волшебник Изумрудного города», основанный на сюжете одноименной сказочной повести А. Волкова. Роли героев повествования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исполняются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участниками ансамбля и юными артистами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воспитанниками Детской филармонии, музыкальных и общеобразовательных школ Тамбова. Авторы сценария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постоянная ведущая концертов детского абонемента А. Строкова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и руководитель ансамбля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Семишова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адаптир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овали сюжет для представления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музыкальном сопровождении, не изменив характера и основной линии повествования. В спектакле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используется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музыка С. Рахманинова,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Ботярова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, Н.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Будашкина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,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Бызова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, Ю.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Весняка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, В. Дмитриева, О. Егоровой, И. Космачева, О. Осиповой, Б. Савельева.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Одна из рецензий на это мероприятие содержало следующий комментарий: «Еще не предстали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перед публикой герои сказки, а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волшебные силы уже начали свое действие. На лицах засияли радостные открытые улыбки, а по краям сцены засветились экраны, привлекая внимание яркой захватывающей мультипликацией. И снова завертелись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 xml:space="preserve">головки ребятишек, не желающих упустить ни того, что происходит на сцене, ни того, что так оживило их фантазию. Весь зал словно поддался действию чар, и каждый зритель заворожен этим общим движением музыки и света, игрой сочетаний ритма, звука и изображения…» 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[</w:t>
      </w:r>
      <w:r w:rsidR="00956CDE" w:rsidRPr="00956CDE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]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В этой постановке, как и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других концертных проектах ансамбля, реализуется оригинальная идея: инструментальные и вокальные номера участников органично вплетены 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сюжетную канву действия. Практически все персонажи представили зрителям музыкальную сторону своего артистического дарования: большее количество 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олей этой постановки сочетали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себе и актерску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ю игру, и сольное выступление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сопровождени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 ансамбля. Это стало поводом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сюжетным импровизациям, которые просто необходимы в условиях представления сказки музыкантами-исп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олнителями, и одновременно являю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тся интересной режиссерской находкой.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Благодаря музыкальному офор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млению представления, участию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постановке хореографических коллективов, транслированию видеофрагментов во время исполнения ансамблевых номеров и декорированию сцены, атмосфера повествования создавала аллюзию на театральный спектакль.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Автор этого п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роекта А. 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Семишова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рассказала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интервью о некоторых особенностях его создания и прокомментировала выбор музыкального материала: </w:t>
      </w:r>
      <w:proofErr w:type="gram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«Это одна из немногих п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рограмм, в которой мы шли не от музыки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сценарию, а наоборот.</w:t>
      </w:r>
      <w:proofErr w:type="gram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… Сложно было найти музыку для урагана. Изначально мы не планировали изображать его, но потом все же нашли способ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отлично подошла музыка А.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Бызова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. Впервые нами была исполнена I часть “Лирическ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ой сюиты” Н. 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Будашкина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>. Когда её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слушаешь, так и видится картина полей, природы, широкая, светлая. Отрывок из «Калинки» О. Осиповой наш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ё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 свое место в программе,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я услышала эту музыку как раз, когда искала то, что могло бы подойти для урагана, или для картины, где дровосек попадает под дождь. Музыка “Тр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ё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х сказок” Ю. 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Весняка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тоже “влилась”… Мы и раньше исполняли музыку нашего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тамбовского композитора О. Ег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оровой. Её “Добрый день”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то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чего мы начали концерт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изумительная музыка, красивая, понятная, многослойная. </w:t>
      </w:r>
      <w:r w:rsidRPr="0057263A">
        <w:rPr>
          <w:rFonts w:ascii="Times New Roman" w:hAnsi="Times New Roman" w:cs="Times New Roman"/>
          <w:bCs/>
          <w:spacing w:val="2"/>
          <w:sz w:val="28"/>
          <w:szCs w:val="28"/>
        </w:rPr>
        <w:t>…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Многие инструментовки для нашего состава выполнены непосредственно участниками ансамбля» 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[</w:t>
      </w:r>
      <w:r w:rsidR="00956CDE" w:rsidRPr="00956CDE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]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16226B" w:rsidRPr="00442B36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Одним из важнейших направлений деятельности практически любого творческого коллектива, независимо от его жанровой принадлежности, является подготовка концертных пр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ограмм для детской аудитории.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этой связи хочется особенно подчеркнуть преимущество народно-инструментального искусства: благодаря одноврем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енному бытованию инструментов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различных исполнительских традициях, репертуарная амплитуда оркестра народных инструментов охватывает такое количество жанровых пластов, которое позволяет стать своего рода проводником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 обывательского восприятия к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истинному пониманию музыкального искусства. «Народные инструменты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приобретают особую значимость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отечественном обществе тем, что позволяют активно заполнить все </w:t>
      </w:r>
      <w:proofErr w:type="gram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ступеньки</w:t>
      </w:r>
      <w:proofErr w:type="gram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изученной нами объемной лестницы от явлений массового музыкального быта и начального музыкального образования вплоть до высочайших шедевров композиторской мысли» 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[</w:t>
      </w:r>
      <w:r w:rsidR="00956CDE" w:rsidRPr="00956CDE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956CDE">
        <w:rPr>
          <w:rFonts w:ascii="Times New Roman" w:hAnsi="Times New Roman" w:cs="Times New Roman"/>
          <w:bCs/>
          <w:spacing w:val="2"/>
          <w:sz w:val="28"/>
          <w:szCs w:val="28"/>
        </w:rPr>
        <w:t>, с. 342]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. Следует добавить, что специфическая задача музыкантов-народников состоит также и в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 знакомстве слушателей с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той исполнительской культурой, но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сителями которой они являются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первую очередь, и сохранить которую </w:t>
      </w:r>
      <w:r w:rsidR="0057263A">
        <w:rPr>
          <w:rFonts w:ascii="Times New Roman" w:hAnsi="Times New Roman" w:cs="Times New Roman"/>
          <w:bCs/>
          <w:spacing w:val="2"/>
          <w:sz w:val="28"/>
          <w:szCs w:val="28"/>
        </w:rPr>
        <w:t>—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задача целой нации.</w:t>
      </w:r>
    </w:p>
    <w:p w:rsidR="00CF6B08" w:rsidRDefault="0016226B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Практика создания театрализованных концертных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программ существует не только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Тамбовс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кой области, но реализуется и в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других городах и регионах России: программы, ориентированные на детскую аудиторию, создаются Национальным Академическим оркестром народных инструментов России им. Н. Осипова (Москва), оркестром «</w:t>
      </w:r>
      <w:proofErr w:type="spellStart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Онего</w:t>
      </w:r>
      <w:proofErr w:type="spell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» Карельской государственной филармонии (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г. Петрозаводск), Нижегородским русским народным оркестром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(г. Н.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Новгород) Государственным оркестром народных инструментов республики 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Татарстан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 </w:t>
      </w:r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>(г. Казань) и многими</w:t>
      </w:r>
      <w:proofErr w:type="gramEnd"/>
      <w:r w:rsidRPr="00442B3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другими профессиональными народно-инструментальными коллект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ивами. Поэтому можно говорить о тенденциозности этого явления в </w:t>
      </w:r>
      <w:r w:rsidR="00696DEE">
        <w:rPr>
          <w:rFonts w:ascii="Times New Roman" w:hAnsi="Times New Roman" w:cs="Times New Roman"/>
          <w:bCs/>
          <w:spacing w:val="2"/>
          <w:sz w:val="28"/>
          <w:szCs w:val="28"/>
        </w:rPr>
        <w:t>современном исполнительстве.</w:t>
      </w:r>
    </w:p>
    <w:p w:rsidR="00696DEE" w:rsidRDefault="00696DEE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696DEE" w:rsidRPr="00696DEE" w:rsidRDefault="00696DEE" w:rsidP="00162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696DEE" w:rsidRDefault="00696DEE" w:rsidP="005726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696DEE">
        <w:rPr>
          <w:rFonts w:ascii="Times New Roman" w:hAnsi="Times New Roman" w:cs="Times New Roman"/>
          <w:b/>
          <w:bCs/>
          <w:spacing w:val="2"/>
          <w:sz w:val="28"/>
          <w:szCs w:val="28"/>
        </w:rPr>
        <w:t>Список литературы</w:t>
      </w:r>
    </w:p>
    <w:p w:rsidR="005C18A8" w:rsidRPr="00442B36" w:rsidRDefault="005C18A8" w:rsidP="005C18A8">
      <w:pPr>
        <w:numPr>
          <w:ilvl w:val="0"/>
          <w:numId w:val="2"/>
        </w:numPr>
        <w:tabs>
          <w:tab w:val="num" w:pos="-567"/>
          <w:tab w:val="left" w:pos="0"/>
          <w:tab w:val="num" w:pos="142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zh-CN"/>
        </w:rPr>
      </w:pPr>
      <w:proofErr w:type="spellStart"/>
      <w:r w:rsidRPr="00442B36">
        <w:rPr>
          <w:rFonts w:ascii="Times New Roman" w:hAnsi="Times New Roman" w:cs="Times New Roman"/>
          <w:i/>
          <w:iCs/>
          <w:spacing w:val="2"/>
          <w:sz w:val="28"/>
          <w:szCs w:val="28"/>
          <w:lang w:eastAsia="zh-CN"/>
        </w:rPr>
        <w:t>Имханицкий</w:t>
      </w:r>
      <w:proofErr w:type="spellEnd"/>
      <w:r w:rsidRPr="00442B36">
        <w:rPr>
          <w:rFonts w:ascii="Times New Roman" w:hAnsi="Times New Roman" w:cs="Times New Roman"/>
          <w:i/>
          <w:iCs/>
          <w:spacing w:val="2"/>
          <w:sz w:val="28"/>
          <w:szCs w:val="28"/>
          <w:lang w:eastAsia="zh-CN"/>
        </w:rPr>
        <w:t>, М. И.</w:t>
      </w:r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История исполнительства на русских народных инструментах [Текст] / М. И. </w:t>
      </w:r>
      <w:proofErr w:type="spellStart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Имханицкий</w:t>
      </w:r>
      <w:proofErr w:type="spellEnd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. – М.: Издательство РАМ им. </w:t>
      </w:r>
      <w:proofErr w:type="spellStart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Гнесиных</w:t>
      </w:r>
      <w:proofErr w:type="spellEnd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, 2002. – 351 </w:t>
      </w:r>
      <w:proofErr w:type="gramStart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с</w:t>
      </w:r>
      <w:proofErr w:type="gramEnd"/>
      <w:r w:rsidRPr="00442B36">
        <w:rPr>
          <w:rFonts w:ascii="Times New Roman" w:hAnsi="Times New Roman" w:cs="Times New Roman"/>
          <w:spacing w:val="2"/>
          <w:sz w:val="28"/>
          <w:szCs w:val="28"/>
          <w:lang w:eastAsia="zh-CN"/>
        </w:rPr>
        <w:t>.</w:t>
      </w:r>
    </w:p>
    <w:p w:rsidR="0057263A" w:rsidRPr="002B3B08" w:rsidRDefault="005C18A8" w:rsidP="005C18A8">
      <w:pPr>
        <w:numPr>
          <w:ilvl w:val="0"/>
          <w:numId w:val="2"/>
        </w:numPr>
        <w:tabs>
          <w:tab w:val="left" w:pos="90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B3B0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zh-CN"/>
        </w:rPr>
        <w:t>Торяник, А. Г.</w:t>
      </w:r>
      <w:r w:rsidRPr="002B3B08">
        <w:rPr>
          <w:rFonts w:ascii="Times New Roman" w:hAnsi="Times New Roman" w:cs="Times New Roman"/>
          <w:spacing w:val="2"/>
          <w:sz w:val="28"/>
          <w:szCs w:val="28"/>
        </w:rPr>
        <w:t xml:space="preserve"> Так рождается сказка…</w:t>
      </w:r>
      <w:r w:rsidRPr="002B3B08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[Текст] / А.</w:t>
      </w:r>
      <w:r w:rsidRPr="002B3B0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zh-CN"/>
        </w:rPr>
        <w:t> </w:t>
      </w:r>
      <w:r w:rsidRPr="002B3B08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Г.</w:t>
      </w:r>
      <w:r w:rsidRPr="002B3B08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zh-CN"/>
        </w:rPr>
        <w:t> </w:t>
      </w:r>
      <w:r w:rsidRPr="002B3B08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Торяник // </w:t>
      </w:r>
      <w:r w:rsidRPr="002B3B08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Gradus</w:t>
      </w:r>
      <w:r w:rsidRPr="002B3B0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2B3B08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ad</w:t>
      </w:r>
      <w:r w:rsidRPr="002B3B0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2B3B08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Parnassum</w:t>
      </w:r>
      <w:r w:rsidRPr="002B3B08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2B3B08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2B3B08">
        <w:rPr>
          <w:rFonts w:ascii="Times New Roman" w:hAnsi="Times New Roman" w:cs="Times New Roman"/>
          <w:spacing w:val="2"/>
          <w:sz w:val="28"/>
          <w:szCs w:val="28"/>
        </w:rPr>
        <w:t>6, ноябрь 2013. – 14</w:t>
      </w:r>
      <w:r w:rsidRPr="002B3B08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proofErr w:type="gramStart"/>
      <w:r w:rsidRPr="002B3B08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Pr="002B3B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sectPr w:rsidR="0057263A" w:rsidRPr="002B3B08" w:rsidSect="001622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D00"/>
    <w:multiLevelType w:val="hybridMultilevel"/>
    <w:tmpl w:val="E0F22BF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03DAE"/>
    <w:multiLevelType w:val="multilevel"/>
    <w:tmpl w:val="F5FAFEA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26B"/>
    <w:rsid w:val="0016226B"/>
    <w:rsid w:val="001A2B0B"/>
    <w:rsid w:val="002B3B08"/>
    <w:rsid w:val="002D2BB2"/>
    <w:rsid w:val="004C79F5"/>
    <w:rsid w:val="00571F5A"/>
    <w:rsid w:val="0057263A"/>
    <w:rsid w:val="005A32BD"/>
    <w:rsid w:val="005C18A8"/>
    <w:rsid w:val="00696DEE"/>
    <w:rsid w:val="00711DEE"/>
    <w:rsid w:val="007D3466"/>
    <w:rsid w:val="00842D64"/>
    <w:rsid w:val="009541E6"/>
    <w:rsid w:val="00956CDE"/>
    <w:rsid w:val="009F682C"/>
    <w:rsid w:val="00AD6782"/>
    <w:rsid w:val="00CD3E82"/>
    <w:rsid w:val="00C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1678</Words>
  <Characters>9567</Characters>
  <Application>Microsoft Office Word</Application>
  <DocSecurity>0</DocSecurity>
  <Lines>79</Lines>
  <Paragraphs>22</Paragraphs>
  <ScaleCrop>false</ScaleCrop>
  <Company>Krokoz™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Трояник</dc:creator>
  <cp:keywords/>
  <dc:description/>
  <cp:lastModifiedBy>Трояник</cp:lastModifiedBy>
  <cp:revision>13</cp:revision>
  <dcterms:created xsi:type="dcterms:W3CDTF">2018-07-02T12:16:00Z</dcterms:created>
  <dcterms:modified xsi:type="dcterms:W3CDTF">2018-07-02T12:47:00Z</dcterms:modified>
</cp:coreProperties>
</file>